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D8E42" w14:textId="4263A9E5" w:rsidR="009F67C3" w:rsidRPr="005D4724" w:rsidRDefault="009F67C3" w:rsidP="001138E1">
      <w:pPr>
        <w:jc w:val="center"/>
        <w:rPr>
          <w:rFonts w:ascii="Arial" w:hAnsi="Arial" w:cs="Arial"/>
          <w:b/>
          <w:bCs/>
          <w:sz w:val="24"/>
          <w:szCs w:val="24"/>
        </w:rPr>
      </w:pPr>
      <w:r w:rsidRPr="005D4724">
        <w:rPr>
          <w:rFonts w:ascii="Arial" w:hAnsi="Arial" w:cs="Arial"/>
          <w:b/>
          <w:bCs/>
          <w:sz w:val="24"/>
          <w:szCs w:val="24"/>
        </w:rPr>
        <w:t>ITU COUNCIL WORKING GROUP</w:t>
      </w:r>
      <w:r w:rsidRPr="005D4724">
        <w:rPr>
          <w:rFonts w:ascii="Arial" w:hAnsi="Arial" w:cs="Arial"/>
          <w:b/>
          <w:bCs/>
          <w:sz w:val="24"/>
          <w:szCs w:val="24"/>
        </w:rPr>
        <w:br/>
        <w:t xml:space="preserve">ON INTERNATIONAL INTERNET-RELATED PUBLIC POLICY ISSUES </w:t>
      </w:r>
      <w:r w:rsidRPr="005D4724">
        <w:rPr>
          <w:rFonts w:ascii="Arial" w:hAnsi="Arial" w:cs="Arial"/>
          <w:b/>
          <w:bCs/>
          <w:sz w:val="24"/>
          <w:szCs w:val="24"/>
        </w:rPr>
        <w:br/>
        <w:t>(CWG-INTERNET)</w:t>
      </w:r>
    </w:p>
    <w:p w14:paraId="157DD98B" w14:textId="14188E70" w:rsidR="008549DB" w:rsidRPr="005D4724" w:rsidRDefault="000E3979" w:rsidP="009F67C3">
      <w:pPr>
        <w:pStyle w:val="Heading1"/>
        <w:spacing w:before="120" w:after="120" w:line="240" w:lineRule="auto"/>
        <w:jc w:val="center"/>
        <w:rPr>
          <w:rFonts w:ascii="Arial" w:hAnsi="Arial" w:cs="Arial"/>
          <w:b/>
          <w:bCs/>
          <w:color w:val="auto"/>
          <w:sz w:val="24"/>
          <w:szCs w:val="24"/>
        </w:rPr>
      </w:pPr>
      <w:r w:rsidRPr="005D4724">
        <w:rPr>
          <w:rFonts w:ascii="Arial" w:hAnsi="Arial" w:cs="Arial"/>
          <w:b/>
          <w:bCs/>
          <w:color w:val="auto"/>
          <w:sz w:val="24"/>
          <w:szCs w:val="24"/>
        </w:rPr>
        <w:t>Online Open Consultations</w:t>
      </w:r>
      <w:r w:rsidR="009F67C3" w:rsidRPr="005D4724">
        <w:rPr>
          <w:rFonts w:ascii="Arial" w:hAnsi="Arial" w:cs="Arial"/>
          <w:b/>
          <w:bCs/>
          <w:color w:val="auto"/>
          <w:sz w:val="24"/>
          <w:szCs w:val="24"/>
        </w:rPr>
        <w:t xml:space="preserve"> on</w:t>
      </w:r>
    </w:p>
    <w:p w14:paraId="6C04ED82" w14:textId="16FFE23D" w:rsidR="009F67C3" w:rsidRPr="005D4724" w:rsidRDefault="004661CE" w:rsidP="00121689">
      <w:pPr>
        <w:tabs>
          <w:tab w:val="left" w:pos="567"/>
          <w:tab w:val="left" w:pos="1134"/>
          <w:tab w:val="left" w:pos="1701"/>
          <w:tab w:val="left" w:pos="2268"/>
          <w:tab w:val="left" w:pos="2835"/>
        </w:tabs>
        <w:overflowPunct w:val="0"/>
        <w:autoSpaceDE w:val="0"/>
        <w:autoSpaceDN w:val="0"/>
        <w:adjustRightInd w:val="0"/>
        <w:spacing w:before="240" w:after="240" w:line="240" w:lineRule="auto"/>
        <w:contextualSpacing/>
        <w:jc w:val="center"/>
        <w:textAlignment w:val="baseline"/>
        <w:rPr>
          <w:rFonts w:ascii="Arial" w:hAnsi="Arial" w:cs="Arial"/>
        </w:rPr>
      </w:pPr>
      <w:r w:rsidRPr="005D4724">
        <w:rPr>
          <w:rFonts w:ascii="Arial" w:eastAsia="Times New Roman" w:hAnsi="Arial" w:cs="Arial"/>
          <w:b/>
          <w:sz w:val="24"/>
          <w:szCs w:val="24"/>
          <w:u w:color="212121"/>
          <w:shd w:val="clear" w:color="auto" w:fill="FFFFFF"/>
          <w:lang w:val="en-GB" w:eastAsia="en-US"/>
        </w:rPr>
        <w:t>“International Internet-Related Public Policy Issues on Harnessing New and Emerging Telecommunications/ICT</w:t>
      </w:r>
      <w:r w:rsidR="00804607" w:rsidRPr="005D4724">
        <w:rPr>
          <w:rFonts w:ascii="Arial" w:eastAsia="Times New Roman" w:hAnsi="Arial" w:cs="Arial"/>
          <w:b/>
          <w:sz w:val="24"/>
          <w:szCs w:val="24"/>
          <w:u w:color="212121"/>
          <w:shd w:val="clear" w:color="auto" w:fill="FFFFFF"/>
          <w:lang w:val="en-GB" w:eastAsia="en-US"/>
        </w:rPr>
        <w:t>s</w:t>
      </w:r>
      <w:r w:rsidRPr="005D4724">
        <w:rPr>
          <w:rFonts w:ascii="Arial" w:eastAsia="Times New Roman" w:hAnsi="Arial" w:cs="Arial"/>
          <w:b/>
          <w:sz w:val="24"/>
          <w:szCs w:val="24"/>
          <w:u w:color="212121"/>
          <w:shd w:val="clear" w:color="auto" w:fill="FFFFFF"/>
          <w:lang w:val="en-GB" w:eastAsia="en-US"/>
        </w:rPr>
        <w:t xml:space="preserve"> for Sustainable Development”</w:t>
      </w:r>
      <w:r w:rsidR="00B965D5" w:rsidRPr="005D4724">
        <w:rPr>
          <w:rFonts w:ascii="Arial" w:eastAsia="Times New Roman" w:hAnsi="Arial" w:cs="Arial"/>
          <w:b/>
          <w:sz w:val="24"/>
          <w:szCs w:val="24"/>
          <w:u w:color="212121"/>
          <w:shd w:val="clear" w:color="auto" w:fill="FFFFFF"/>
          <w:lang w:val="en-GB" w:eastAsia="en-US"/>
        </w:rPr>
        <w:br/>
      </w:r>
    </w:p>
    <w:p w14:paraId="2B8C1780" w14:textId="6113C4F8" w:rsidR="009807AF" w:rsidRPr="00EA4B70" w:rsidRDefault="009807AF" w:rsidP="00C4159A">
      <w:pPr>
        <w:jc w:val="center"/>
        <w:rPr>
          <w:rFonts w:ascii="Arial" w:hAnsi="Arial" w:cs="Arial"/>
          <w:i/>
          <w:szCs w:val="24"/>
        </w:rPr>
      </w:pPr>
      <w:r w:rsidRPr="005D4724">
        <w:rPr>
          <w:rFonts w:ascii="Arial" w:hAnsi="Arial" w:cs="Arial"/>
          <w:i/>
          <w:iCs/>
          <w:sz w:val="24"/>
          <w:szCs w:val="24"/>
        </w:rPr>
        <w:t>(</w:t>
      </w:r>
      <w:r w:rsidR="00121689" w:rsidRPr="005D4724">
        <w:rPr>
          <w:rFonts w:ascii="Arial" w:hAnsi="Arial" w:cs="Arial"/>
          <w:i/>
          <w:iCs/>
          <w:sz w:val="24"/>
          <w:szCs w:val="24"/>
        </w:rPr>
        <w:t>October</w:t>
      </w:r>
      <w:r w:rsidRPr="005D4724">
        <w:rPr>
          <w:rFonts w:ascii="Arial" w:hAnsi="Arial" w:cs="Arial"/>
          <w:i/>
          <w:iCs/>
          <w:sz w:val="24"/>
          <w:szCs w:val="24"/>
        </w:rPr>
        <w:t xml:space="preserve"> 201</w:t>
      </w:r>
      <w:r w:rsidR="004661CE" w:rsidRPr="005D4724">
        <w:rPr>
          <w:rFonts w:ascii="Arial" w:hAnsi="Arial" w:cs="Arial"/>
          <w:i/>
          <w:iCs/>
          <w:sz w:val="24"/>
          <w:szCs w:val="24"/>
        </w:rPr>
        <w:t>9</w:t>
      </w:r>
      <w:r w:rsidR="005D4724">
        <w:rPr>
          <w:rFonts w:ascii="Arial" w:hAnsi="Arial" w:cs="Arial"/>
          <w:i/>
          <w:iCs/>
          <w:sz w:val="24"/>
          <w:szCs w:val="24"/>
        </w:rPr>
        <w:t>-</w:t>
      </w:r>
      <w:r w:rsidR="00121689" w:rsidRPr="005D4724">
        <w:rPr>
          <w:rFonts w:ascii="Arial" w:hAnsi="Arial" w:cs="Arial"/>
          <w:i/>
          <w:iCs/>
          <w:sz w:val="24"/>
          <w:szCs w:val="24"/>
        </w:rPr>
        <w:t>January 20</w:t>
      </w:r>
      <w:r w:rsidR="004661CE" w:rsidRPr="005D4724">
        <w:rPr>
          <w:rFonts w:ascii="Arial" w:hAnsi="Arial" w:cs="Arial"/>
          <w:i/>
          <w:iCs/>
          <w:sz w:val="24"/>
          <w:szCs w:val="24"/>
        </w:rPr>
        <w:t>20</w:t>
      </w:r>
      <w:r w:rsidRPr="005D4724">
        <w:rPr>
          <w:rFonts w:ascii="Arial" w:hAnsi="Arial" w:cs="Arial"/>
          <w:i/>
          <w:iCs/>
          <w:sz w:val="24"/>
          <w:szCs w:val="24"/>
        </w:rPr>
        <w:t>)</w:t>
      </w:r>
      <w:r w:rsidR="00E718E6" w:rsidRPr="005D4724">
        <w:rPr>
          <w:rFonts w:ascii="Arial" w:hAnsi="Arial" w:cs="Arial"/>
          <w:i/>
          <w:iCs/>
          <w:sz w:val="24"/>
          <w:szCs w:val="24"/>
        </w:rPr>
        <w:br/>
        <w:t xml:space="preserve">Deadline for submissions: </w:t>
      </w:r>
      <w:r w:rsidR="001E0A87" w:rsidRPr="005D4724">
        <w:rPr>
          <w:rFonts w:ascii="Arial" w:hAnsi="Arial" w:cs="Arial"/>
          <w:i/>
          <w:iCs/>
          <w:sz w:val="24"/>
          <w:szCs w:val="24"/>
        </w:rPr>
        <w:t>3</w:t>
      </w:r>
      <w:r w:rsidR="001E0A87" w:rsidRPr="005D4724">
        <w:rPr>
          <w:rFonts w:ascii="Arial" w:hAnsi="Arial" w:cs="Arial"/>
          <w:i/>
          <w:iCs/>
          <w:sz w:val="24"/>
          <w:szCs w:val="24"/>
          <w:vertAlign w:val="superscript"/>
        </w:rPr>
        <w:t>rd</w:t>
      </w:r>
      <w:r w:rsidR="001E0A87" w:rsidRPr="005D4724">
        <w:rPr>
          <w:rFonts w:ascii="Arial" w:hAnsi="Arial" w:cs="Arial"/>
          <w:i/>
          <w:iCs/>
          <w:sz w:val="24"/>
          <w:szCs w:val="24"/>
        </w:rPr>
        <w:t xml:space="preserve"> </w:t>
      </w:r>
      <w:r w:rsidR="00C4159A" w:rsidRPr="005D4724">
        <w:rPr>
          <w:rFonts w:ascii="Arial" w:hAnsi="Arial" w:cs="Arial"/>
          <w:i/>
          <w:iCs/>
          <w:sz w:val="24"/>
          <w:szCs w:val="24"/>
        </w:rPr>
        <w:t>January 20</w:t>
      </w:r>
      <w:r w:rsidR="001E0A87" w:rsidRPr="005D4724">
        <w:rPr>
          <w:rFonts w:ascii="Arial" w:hAnsi="Arial" w:cs="Arial"/>
          <w:i/>
          <w:iCs/>
          <w:sz w:val="24"/>
          <w:szCs w:val="24"/>
        </w:rPr>
        <w:t>20</w:t>
      </w:r>
      <w:r w:rsidR="009F67C3" w:rsidRPr="005D4724">
        <w:rPr>
          <w:rFonts w:ascii="Arial" w:hAnsi="Arial" w:cs="Arial"/>
          <w:i/>
          <w:iCs/>
          <w:sz w:val="24"/>
          <w:szCs w:val="24"/>
        </w:rPr>
        <w:br/>
      </w:r>
    </w:p>
    <w:p w14:paraId="2B8C1786" w14:textId="24F80DEE" w:rsidR="009807AF" w:rsidRDefault="00EA4B70" w:rsidP="00EA4B70">
      <w:pPr>
        <w:spacing w:after="120"/>
        <w:jc w:val="center"/>
      </w:pPr>
      <w:r>
        <w:t>SUMMARY</w:t>
      </w:r>
    </w:p>
    <w:tbl>
      <w:tblPr>
        <w:tblStyle w:val="TableGrid"/>
        <w:tblW w:w="9734" w:type="dxa"/>
        <w:tblLook w:val="04A0" w:firstRow="1" w:lastRow="0" w:firstColumn="1" w:lastColumn="0" w:noHBand="0" w:noVBand="1"/>
      </w:tblPr>
      <w:tblGrid>
        <w:gridCol w:w="9734"/>
      </w:tblGrid>
      <w:tr w:rsidR="0054007A" w:rsidRPr="00934522" w14:paraId="035AE2FF" w14:textId="77777777" w:rsidTr="00EA4B70">
        <w:trPr>
          <w:trHeight w:val="5957"/>
        </w:trPr>
        <w:tc>
          <w:tcPr>
            <w:tcW w:w="9734" w:type="dxa"/>
          </w:tcPr>
          <w:p w14:paraId="6C1774A0" w14:textId="77777777" w:rsidR="00EA4B70" w:rsidRDefault="00EA4B70" w:rsidP="00EA4B70"/>
          <w:p w14:paraId="4E354404" w14:textId="60AD1BFC" w:rsidR="00EA4B70" w:rsidRDefault="00EA4B70" w:rsidP="00EA4B70">
            <w:pPr>
              <w:rPr>
                <w:rFonts w:cstheme="minorHAnsi"/>
              </w:rPr>
            </w:pPr>
            <w:bookmarkStart w:id="0" w:name="_GoBack"/>
            <w:r>
              <w:t>The Australian Government recognises that the Internet and new and emerging telecommunications/ICTs are enablers of sustainable development and inclusive economic growth. E</w:t>
            </w:r>
            <w:r w:rsidRPr="001E3FE0">
              <w:rPr>
                <w:rFonts w:cstheme="minorHAnsi"/>
              </w:rPr>
              <w:t>merging technologies</w:t>
            </w:r>
            <w:r>
              <w:rPr>
                <w:rFonts w:cstheme="minorHAnsi"/>
              </w:rPr>
              <w:t xml:space="preserve"> </w:t>
            </w:r>
            <w:r w:rsidRPr="001E3FE0">
              <w:rPr>
                <w:rFonts w:cstheme="minorHAnsi"/>
              </w:rPr>
              <w:t>are</w:t>
            </w:r>
            <w:r>
              <w:rPr>
                <w:rFonts w:cstheme="minorHAnsi"/>
              </w:rPr>
              <w:t xml:space="preserve"> also</w:t>
            </w:r>
            <w:r w:rsidRPr="001E3FE0">
              <w:rPr>
                <w:rFonts w:cstheme="minorHAnsi"/>
              </w:rPr>
              <w:t xml:space="preserve"> increasing the reliance of our societies on digital connectivity for basic services and utilities, economic activity and information. This dependence introduces new </w:t>
            </w:r>
            <w:r>
              <w:rPr>
                <w:rFonts w:cstheme="minorHAnsi"/>
              </w:rPr>
              <w:t>opportunities, such as driving innovation and economic growth, as well as risks concerning the pace of adoption, privacy and cyber security.</w:t>
            </w:r>
          </w:p>
          <w:p w14:paraId="0D6F6120" w14:textId="77777777" w:rsidR="00EA4B70" w:rsidRDefault="00EA4B70" w:rsidP="00EA4B70">
            <w:pPr>
              <w:rPr>
                <w:rFonts w:cstheme="minorHAnsi"/>
              </w:rPr>
            </w:pPr>
          </w:p>
          <w:p w14:paraId="6C7F1DA0" w14:textId="7CD56D34" w:rsidR="00EA4B70" w:rsidRDefault="00EA4B70" w:rsidP="00EA4B70">
            <w:pPr>
              <w:rPr>
                <w:rFonts w:cstheme="minorHAnsi"/>
              </w:rPr>
            </w:pPr>
            <w:r>
              <w:rPr>
                <w:rFonts w:cstheme="minorHAnsi"/>
              </w:rPr>
              <w:t>The Australian Government addresses these opportunities and risks by engaging in multi</w:t>
            </w:r>
            <w:r>
              <w:rPr>
                <w:rFonts w:cstheme="minorHAnsi"/>
              </w:rPr>
              <w:noBreakHyphen/>
              <w:t xml:space="preserve">stakeholder partnerships to encourage growth and innovation, and by making significant investments in our region through programs to deliver activities to improve access, capacity development and cyber security assistance. The Australian Government has also invested in new and emerging telecommunications/ICTs by implementing </w:t>
            </w:r>
            <w:r w:rsidRPr="00FB3E01">
              <w:rPr>
                <w:rFonts w:cstheme="minorHAnsi"/>
              </w:rPr>
              <w:t>a strategy to sup</w:t>
            </w:r>
            <w:r>
              <w:rPr>
                <w:rFonts w:cstheme="minorHAnsi"/>
              </w:rPr>
              <w:t xml:space="preserve">port the rollout and use of 5G, and by </w:t>
            </w:r>
            <w:r w:rsidRPr="00FB3E01">
              <w:rPr>
                <w:rFonts w:cstheme="minorHAnsi"/>
              </w:rPr>
              <w:t>establish</w:t>
            </w:r>
            <w:r>
              <w:rPr>
                <w:rFonts w:cstheme="minorHAnsi"/>
              </w:rPr>
              <w:t>ing</w:t>
            </w:r>
            <w:r w:rsidRPr="00FB3E01">
              <w:rPr>
                <w:rFonts w:cstheme="minorHAnsi"/>
              </w:rPr>
              <w:t xml:space="preserve"> a 5G Working Group </w:t>
            </w:r>
            <w:r>
              <w:rPr>
                <w:rFonts w:cstheme="minorHAnsi"/>
              </w:rPr>
              <w:t>to</w:t>
            </w:r>
            <w:r w:rsidRPr="00FB3E01">
              <w:rPr>
                <w:rFonts w:cstheme="minorHAnsi"/>
              </w:rPr>
              <w:t xml:space="preserve"> raise awareness of the opportunities</w:t>
            </w:r>
            <w:r>
              <w:rPr>
                <w:rFonts w:cstheme="minorHAnsi"/>
              </w:rPr>
              <w:t xml:space="preserve"> this technology</w:t>
            </w:r>
            <w:r w:rsidRPr="00FB3E01">
              <w:rPr>
                <w:rFonts w:cstheme="minorHAnsi"/>
              </w:rPr>
              <w:t xml:space="preserve"> offers.</w:t>
            </w:r>
            <w:r>
              <w:rPr>
                <w:rFonts w:cstheme="minorHAnsi"/>
              </w:rPr>
              <w:t xml:space="preserve"> Similarly, to support large scale Internet of Things (IoT) projects, a</w:t>
            </w:r>
            <w:r w:rsidRPr="00FB3E01">
              <w:rPr>
                <w:rFonts w:cstheme="minorHAnsi"/>
              </w:rPr>
              <w:t>ll levels of government in Australia have fostered investment in IoT projects thro</w:t>
            </w:r>
            <w:r>
              <w:rPr>
                <w:rFonts w:cstheme="minorHAnsi"/>
              </w:rPr>
              <w:t xml:space="preserve">ugh public-private partnerships. </w:t>
            </w:r>
          </w:p>
          <w:p w14:paraId="22CB63DF" w14:textId="77777777" w:rsidR="00EA4B70" w:rsidRDefault="00EA4B70" w:rsidP="00EA4B70">
            <w:pPr>
              <w:rPr>
                <w:rFonts w:cstheme="minorHAnsi"/>
              </w:rPr>
            </w:pPr>
          </w:p>
          <w:p w14:paraId="1FDD2ED8" w14:textId="09BC5FCD" w:rsidR="0054007A" w:rsidRPr="00EA4B70" w:rsidRDefault="00EA4B70" w:rsidP="00EA4B70">
            <w:pPr>
              <w:rPr>
                <w:rFonts w:cstheme="minorHAnsi"/>
              </w:rPr>
            </w:pPr>
            <w:r>
              <w:rPr>
                <w:rFonts w:cstheme="minorHAnsi"/>
              </w:rPr>
              <w:t xml:space="preserve">Benefitting from the opportunities that the Internet can provide as an enabler of sustainable development and economic growth will only be possible if the fundamental aspects of the Internet’s success, </w:t>
            </w:r>
            <w:r w:rsidRPr="001E3FE0">
              <w:rPr>
                <w:rFonts w:cstheme="minorHAnsi"/>
              </w:rPr>
              <w:t>including global interoperability and multi</w:t>
            </w:r>
            <w:r>
              <w:rPr>
                <w:rFonts w:cstheme="minorHAnsi"/>
              </w:rPr>
              <w:t>-</w:t>
            </w:r>
            <w:r w:rsidRPr="001E3FE0">
              <w:rPr>
                <w:rFonts w:cstheme="minorHAnsi"/>
              </w:rPr>
              <w:t>stakeholder governance</w:t>
            </w:r>
            <w:r>
              <w:rPr>
                <w:rFonts w:cstheme="minorHAnsi"/>
              </w:rPr>
              <w:t>, continue to be</w:t>
            </w:r>
            <w:r w:rsidRPr="001E3FE0">
              <w:rPr>
                <w:rFonts w:cstheme="minorHAnsi"/>
              </w:rPr>
              <w:t xml:space="preserve"> maintained and strengthened</w:t>
            </w:r>
            <w:r>
              <w:rPr>
                <w:rFonts w:cstheme="minorHAnsi"/>
              </w:rPr>
              <w:t xml:space="preserve">. The Australian Government supports activities that increase awareness, opportunity, and capacity development regarding </w:t>
            </w:r>
            <w:r>
              <w:t>Internet and telecommunications/ICTs</w:t>
            </w:r>
            <w:r>
              <w:rPr>
                <w:rFonts w:cstheme="minorHAnsi"/>
              </w:rPr>
              <w:t xml:space="preserve"> to support these values.</w:t>
            </w:r>
            <w:bookmarkEnd w:id="0"/>
          </w:p>
        </w:tc>
      </w:tr>
    </w:tbl>
    <w:p w14:paraId="41C81ADA" w14:textId="41534874" w:rsidR="0054007A" w:rsidRDefault="00BE72C4" w:rsidP="00301763">
      <w:pPr>
        <w:rPr>
          <w:rFonts w:ascii="Arial" w:hAnsi="Arial" w:cs="Arial"/>
          <w:b/>
          <w:bCs/>
          <w:sz w:val="24"/>
          <w:szCs w:val="24"/>
        </w:rPr>
      </w:pPr>
      <w:r>
        <w:rPr>
          <w:rFonts w:ascii="Arial" w:hAnsi="Arial" w:cs="Arial"/>
          <w:b/>
          <w:bCs/>
          <w:sz w:val="24"/>
          <w:szCs w:val="24"/>
        </w:rPr>
        <w:br w:type="page"/>
      </w:r>
    </w:p>
    <w:p w14:paraId="6FE848DC" w14:textId="77777777" w:rsidR="0054007A" w:rsidRDefault="0054007A" w:rsidP="00301763">
      <w:pPr>
        <w:rPr>
          <w:rFonts w:ascii="Arial" w:hAnsi="Arial" w:cs="Arial"/>
          <w:b/>
          <w:bCs/>
          <w:sz w:val="24"/>
          <w:szCs w:val="24"/>
        </w:rPr>
      </w:pPr>
    </w:p>
    <w:p w14:paraId="2B8C1790" w14:textId="7B1F03F8" w:rsidR="002B7C31" w:rsidRPr="00301763" w:rsidRDefault="002B7C31" w:rsidP="00301763">
      <w:pPr>
        <w:rPr>
          <w:rFonts w:cstheme="minorHAnsi"/>
          <w:sz w:val="24"/>
          <w:szCs w:val="24"/>
        </w:rPr>
      </w:pPr>
      <w:r w:rsidRPr="00301763">
        <w:rPr>
          <w:rFonts w:cstheme="minorHAnsi"/>
          <w:sz w:val="24"/>
          <w:szCs w:val="24"/>
        </w:rPr>
        <w:t>QUESTION</w:t>
      </w:r>
      <w:r w:rsidR="00821BEB" w:rsidRPr="00301763">
        <w:rPr>
          <w:rFonts w:cstheme="minorHAnsi"/>
          <w:sz w:val="24"/>
          <w:szCs w:val="24"/>
        </w:rPr>
        <w:t>S</w:t>
      </w:r>
    </w:p>
    <w:p w14:paraId="2B8C1791" w14:textId="35A7DD30" w:rsidR="000E3979" w:rsidRPr="00301763" w:rsidRDefault="002B7C31" w:rsidP="005D4724">
      <w:pPr>
        <w:pStyle w:val="Heading3"/>
        <w:spacing w:before="240" w:after="120" w:line="240" w:lineRule="auto"/>
        <w:jc w:val="both"/>
        <w:rPr>
          <w:rFonts w:asciiTheme="minorHAnsi" w:hAnsiTheme="minorHAnsi" w:cstheme="minorHAnsi"/>
          <w:b/>
          <w:bCs/>
          <w:color w:val="auto"/>
        </w:rPr>
      </w:pPr>
      <w:r w:rsidRPr="00301763">
        <w:rPr>
          <w:rFonts w:asciiTheme="minorHAnsi" w:hAnsiTheme="minorHAnsi" w:cstheme="minorHAnsi"/>
          <w:b/>
          <w:bCs/>
          <w:color w:val="auto"/>
        </w:rPr>
        <w:t xml:space="preserve">Question </w:t>
      </w:r>
      <w:r w:rsidR="000E3979" w:rsidRPr="00301763">
        <w:rPr>
          <w:rFonts w:asciiTheme="minorHAnsi" w:hAnsiTheme="minorHAnsi" w:cstheme="minorHAnsi"/>
          <w:b/>
          <w:bCs/>
          <w:color w:val="auto"/>
        </w:rPr>
        <w:t xml:space="preserve">1: </w:t>
      </w:r>
    </w:p>
    <w:p w14:paraId="78D865F5" w14:textId="77777777" w:rsidR="00EC195B" w:rsidRPr="00301763" w:rsidRDefault="00EC195B" w:rsidP="005D4724">
      <w:pPr>
        <w:spacing w:before="100" w:beforeAutospacing="1" w:after="100" w:afterAutospacing="1" w:line="240" w:lineRule="atLeast"/>
        <w:jc w:val="both"/>
        <w:rPr>
          <w:rFonts w:eastAsia="Times New Roman" w:cstheme="minorHAnsi"/>
          <w:b/>
          <w:bCs/>
          <w:color w:val="000000"/>
          <w:sz w:val="24"/>
          <w:szCs w:val="24"/>
        </w:rPr>
      </w:pPr>
      <w:r w:rsidRPr="00301763">
        <w:rPr>
          <w:rFonts w:eastAsia="Times New Roman" w:cstheme="minorHAnsi"/>
          <w:b/>
          <w:bCs/>
          <w:color w:val="000000"/>
          <w:sz w:val="24"/>
          <w:szCs w:val="24"/>
        </w:rPr>
        <w:t>How will new and emerging telecommunications/ICTs impact both the internet and sustainable development, including the digital economy?</w:t>
      </w:r>
    </w:p>
    <w:p w14:paraId="0D886099" w14:textId="77777777" w:rsidR="001E3FE0" w:rsidRDefault="001E3FE0" w:rsidP="001E3FE0">
      <w:r>
        <w:t xml:space="preserve">The Internet and digital technologies are profound enablers of sustainable development and inclusive economic growth. </w:t>
      </w:r>
      <w:r w:rsidRPr="00811135">
        <w:t xml:space="preserve">The </w:t>
      </w:r>
      <w:hyperlink r:id="rId11" w:history="1">
        <w:r w:rsidRPr="001462CE">
          <w:rPr>
            <w:rStyle w:val="Hyperlink"/>
          </w:rPr>
          <w:t xml:space="preserve">United Nations (UN) </w:t>
        </w:r>
        <w:r w:rsidRPr="00D50728">
          <w:rPr>
            <w:rStyle w:val="Hyperlink"/>
            <w:i/>
          </w:rPr>
          <w:t>2030 Agenda for Sustainable Development</w:t>
        </w:r>
      </w:hyperlink>
      <w:r w:rsidRPr="00811135">
        <w:t xml:space="preserve"> recognises digital technologies as vital to ending poverty, expanding access to quality education, achieving gender equality and social inclusion, promoting inclusive economic growth, improving health outcomes and supporting cross-sectoral </w:t>
      </w:r>
      <w:r w:rsidRPr="001E3FE0">
        <w:rPr>
          <w:rFonts w:cstheme="minorHAnsi"/>
        </w:rPr>
        <w:t>innovation</w:t>
      </w:r>
      <w:r w:rsidRPr="00811135">
        <w:t>.</w:t>
      </w:r>
    </w:p>
    <w:p w14:paraId="43EE8FF8" w14:textId="6DE323DC" w:rsidR="001E3FE0" w:rsidRDefault="001E3FE0" w:rsidP="001E3FE0">
      <w:pPr>
        <w:rPr>
          <w:rFonts w:cstheme="minorHAnsi"/>
        </w:rPr>
      </w:pPr>
      <w:r w:rsidRPr="001E3FE0">
        <w:rPr>
          <w:rFonts w:cstheme="minorHAnsi"/>
        </w:rPr>
        <w:t>Emerging technologies including 5G, I</w:t>
      </w:r>
      <w:r>
        <w:rPr>
          <w:rFonts w:cstheme="minorHAnsi"/>
        </w:rPr>
        <w:t xml:space="preserve">nternet of </w:t>
      </w:r>
      <w:r w:rsidRPr="001E3FE0">
        <w:rPr>
          <w:rFonts w:cstheme="minorHAnsi"/>
        </w:rPr>
        <w:t>T</w:t>
      </w:r>
      <w:r>
        <w:rPr>
          <w:rFonts w:cstheme="minorHAnsi"/>
        </w:rPr>
        <w:t>hings (IoT)</w:t>
      </w:r>
      <w:r w:rsidRPr="001E3FE0">
        <w:rPr>
          <w:rFonts w:cstheme="minorHAnsi"/>
        </w:rPr>
        <w:t xml:space="preserve"> and Smart Cities, are increasing the reliance of our societies on digital connectivity for basic services and utilities, economic activity and information. This dependence introduces new risks as well as opportunities. Actions to protect countries and societies from </w:t>
      </w:r>
      <w:r w:rsidR="00662386">
        <w:rPr>
          <w:rFonts w:cstheme="minorHAnsi"/>
        </w:rPr>
        <w:t>such</w:t>
      </w:r>
      <w:r w:rsidRPr="001E3FE0">
        <w:rPr>
          <w:rFonts w:cstheme="minorHAnsi"/>
        </w:rPr>
        <w:t xml:space="preserve"> risks must be </w:t>
      </w:r>
      <w:r w:rsidR="00662386">
        <w:rPr>
          <w:rFonts w:cstheme="minorHAnsi"/>
        </w:rPr>
        <w:t>balanced with the ability</w:t>
      </w:r>
      <w:r w:rsidRPr="001E3FE0">
        <w:rPr>
          <w:rFonts w:cstheme="minorHAnsi"/>
        </w:rPr>
        <w:t xml:space="preserve"> to take advantage of the opportunities. The Internet, as a subset of broader digital systems, will continue be an enabler of sustainable development if the fundamental aspects of its success, including global interoperability and multistakeholder governance, are maintained and strengthened. </w:t>
      </w:r>
    </w:p>
    <w:p w14:paraId="25624422" w14:textId="38D36E2C" w:rsidR="00244CEB" w:rsidRDefault="00244CEB" w:rsidP="00244CEB">
      <w:r>
        <w:t>5G, particularly in combination with IoT, may have significant impacts across the economy, driving innovation, productivity and international competitiveness. However, it remains unclear how the full potential of 5G will be used. Australia sees the rollout of 5G being commercially and competitively driven in the first instance, with government providing policy and regulatory support where appropriate.</w:t>
      </w:r>
    </w:p>
    <w:p w14:paraId="45DC976E" w14:textId="372BAEAB" w:rsidR="00244CEB" w:rsidRDefault="00244CEB" w:rsidP="00244CEB">
      <w:r>
        <w:t>In April 2018, the</w:t>
      </w:r>
      <w:r w:rsidR="00694BDE">
        <w:t xml:space="preserve"> Australian Government’s</w:t>
      </w:r>
      <w:r>
        <w:t xml:space="preserve"> Bureau of Communications and Arts Research (BCAR) published a report on the </w:t>
      </w:r>
      <w:hyperlink r:id="rId12" w:history="1">
        <w:r w:rsidRPr="00244CEB">
          <w:rPr>
            <w:rStyle w:val="Hyperlink"/>
          </w:rPr>
          <w:t>Impacts of 5G on productivity and economic growth</w:t>
        </w:r>
      </w:hyperlink>
      <w:r>
        <w:t xml:space="preserve">, which showed that, despite uncertainty about the investment needed to enable 5G, it is likely to improve productivity growth across the economy. 5G could provide an additional </w:t>
      </w:r>
      <w:r w:rsidR="00C50FA0">
        <w:t>AUD</w:t>
      </w:r>
      <w:r>
        <w:t xml:space="preserve">$1,300 to </w:t>
      </w:r>
      <w:r w:rsidR="00C50FA0">
        <w:t>AUD</w:t>
      </w:r>
      <w:r>
        <w:t>$2,000 in gross domestic product per person after the first decade of the rollout.</w:t>
      </w:r>
    </w:p>
    <w:p w14:paraId="3AAA30F3" w14:textId="30907526" w:rsidR="00244CEB" w:rsidRDefault="00244CEB" w:rsidP="00244CEB">
      <w:r>
        <w:t xml:space="preserve">IoT can </w:t>
      </w:r>
      <w:r w:rsidR="000327C6">
        <w:t xml:space="preserve">also </w:t>
      </w:r>
      <w:r>
        <w:t>support innovation and economic growth, and will support sustainable development through the proliferation of IoT solutions in vertical markets. These verticals include healthcare, water management, waste management, agriculture, wildlife and marine conservation, natural resource management, transportation, environment, and energy.</w:t>
      </w:r>
    </w:p>
    <w:p w14:paraId="2B8C1795" w14:textId="36F4D0E7" w:rsidR="000E3979" w:rsidRPr="00301763" w:rsidRDefault="002B7C31" w:rsidP="005D4724">
      <w:pPr>
        <w:pStyle w:val="Heading3"/>
        <w:spacing w:before="240" w:after="120" w:line="240" w:lineRule="auto"/>
        <w:jc w:val="both"/>
        <w:rPr>
          <w:rFonts w:asciiTheme="minorHAnsi" w:hAnsiTheme="minorHAnsi" w:cstheme="minorHAnsi"/>
          <w:b/>
          <w:bCs/>
          <w:color w:val="auto"/>
        </w:rPr>
      </w:pPr>
      <w:r w:rsidRPr="00301763">
        <w:rPr>
          <w:rFonts w:asciiTheme="minorHAnsi" w:hAnsiTheme="minorHAnsi" w:cstheme="minorHAnsi"/>
          <w:b/>
          <w:bCs/>
          <w:color w:val="auto"/>
        </w:rPr>
        <w:t xml:space="preserve">Question 2: </w:t>
      </w:r>
    </w:p>
    <w:p w14:paraId="73B283A7" w14:textId="77777777" w:rsidR="00EC195B" w:rsidRPr="00301763" w:rsidRDefault="00EC195B" w:rsidP="005D4724">
      <w:pPr>
        <w:spacing w:before="100" w:beforeAutospacing="1" w:after="100" w:afterAutospacing="1" w:line="240" w:lineRule="atLeast"/>
        <w:jc w:val="both"/>
        <w:rPr>
          <w:rFonts w:eastAsia="Times New Roman" w:cstheme="minorHAnsi"/>
          <w:b/>
          <w:bCs/>
          <w:color w:val="000000"/>
          <w:sz w:val="24"/>
          <w:szCs w:val="24"/>
        </w:rPr>
      </w:pPr>
      <w:r w:rsidRPr="00301763">
        <w:rPr>
          <w:rFonts w:eastAsia="Times New Roman" w:cstheme="minorHAnsi"/>
          <w:b/>
          <w:bCs/>
          <w:color w:val="000000"/>
          <w:sz w:val="24"/>
          <w:szCs w:val="24"/>
        </w:rPr>
        <w:t>What are the opportunities and challenges for the adoption and growth of the new and emerging telecommunications/ICTs and internet?</w:t>
      </w:r>
    </w:p>
    <w:p w14:paraId="7088DB0A" w14:textId="36ED1B9D" w:rsidR="00974357" w:rsidRDefault="00974357" w:rsidP="00910F17">
      <w:r>
        <w:rPr>
          <w:i/>
        </w:rPr>
        <w:t>General opportunities and challenges</w:t>
      </w:r>
    </w:p>
    <w:p w14:paraId="26A1D1B6" w14:textId="4DA893B7" w:rsidR="00910F17" w:rsidRDefault="00910F17" w:rsidP="00910F17">
      <w:r>
        <w:t>As always, providing citizens with access to new technologies can be challenging given the costs involved. In all instances, the cost relative to the benefits needs to be considered, however, many benefits may be indirect (i.e. externalities) which are difficult to moneti</w:t>
      </w:r>
      <w:r w:rsidR="00A16497">
        <w:t>s</w:t>
      </w:r>
      <w:r>
        <w:t xml:space="preserve">e directly, potentially requiring </w:t>
      </w:r>
      <w:r>
        <w:lastRenderedPageBreak/>
        <w:t>new ways to recogni</w:t>
      </w:r>
      <w:r w:rsidR="00A16497">
        <w:t>s</w:t>
      </w:r>
      <w:r>
        <w:t xml:space="preserve">e these benefits. This may be particularly true where ICTs are employed to address wider environmental and societal issues. </w:t>
      </w:r>
    </w:p>
    <w:p w14:paraId="20087B67" w14:textId="3E445D17" w:rsidR="0078208E" w:rsidRDefault="0078208E" w:rsidP="0078208E">
      <w:r>
        <w:t xml:space="preserve">In terms of specific technologies, </w:t>
      </w:r>
      <w:r w:rsidRPr="005C41F3">
        <w:t xml:space="preserve">5G has great potential </w:t>
      </w:r>
      <w:r w:rsidR="00974357">
        <w:t>but this potential needs to be kept</w:t>
      </w:r>
      <w:r w:rsidRPr="005C41F3">
        <w:t xml:space="preserve"> in perspective and </w:t>
      </w:r>
      <w:r>
        <w:t>marketing</w:t>
      </w:r>
      <w:r w:rsidR="00974357">
        <w:t xml:space="preserve"> must be sep</w:t>
      </w:r>
      <w:r w:rsidR="00A97AE8">
        <w:t>a</w:t>
      </w:r>
      <w:r w:rsidR="00974357">
        <w:t>rated</w:t>
      </w:r>
      <w:r w:rsidRPr="005C41F3">
        <w:t xml:space="preserve"> from reality. </w:t>
      </w:r>
      <w:r>
        <w:t>I</w:t>
      </w:r>
      <w:r w:rsidRPr="005C41F3">
        <w:t>n Australia</w:t>
      </w:r>
      <w:r w:rsidR="00A97AE8">
        <w:t>,</w:t>
      </w:r>
      <w:r w:rsidRPr="005C41F3">
        <w:t xml:space="preserve"> 5G is at an early stage of deployment and the immediate focus is on urban areas and supplementing 4G capacity.</w:t>
      </w:r>
      <w:r>
        <w:t xml:space="preserve"> Like 5G, IoT’s potential should also be kept in perspective. The technology may be slower to proliferate in Least Developed Countries due to their cost, low capacity for implementation, lack of regulatory frameworks and low public engagement. </w:t>
      </w:r>
    </w:p>
    <w:p w14:paraId="6D48B111" w14:textId="1BE8905A" w:rsidR="00910F17" w:rsidRDefault="00910F17" w:rsidP="00910F17">
      <w:r>
        <w:t>Another challenge is the</w:t>
      </w:r>
      <w:r w:rsidRPr="005C41F3">
        <w:t xml:space="preserve"> pace of adoption</w:t>
      </w:r>
      <w:r>
        <w:t>, which</w:t>
      </w:r>
      <w:r w:rsidRPr="005C41F3">
        <w:t xml:space="preserve"> is likely to vary greatly </w:t>
      </w:r>
      <w:r>
        <w:t>globally</w:t>
      </w:r>
      <w:r w:rsidRPr="005C41F3">
        <w:t xml:space="preserve"> over the next five years. As such, earlier network generations like 3G and 4G can continue to play an important role in enabling access to telecommunications services.</w:t>
      </w:r>
      <w:r w:rsidRPr="00554154">
        <w:t xml:space="preserve"> </w:t>
      </w:r>
    </w:p>
    <w:p w14:paraId="6365F2D2" w14:textId="75D6449B" w:rsidR="00910F17" w:rsidRPr="001E3FE0" w:rsidRDefault="0078208E" w:rsidP="00910F17">
      <w:pPr>
        <w:rPr>
          <w:rFonts w:cstheme="minorHAnsi"/>
        </w:rPr>
      </w:pPr>
      <w:r>
        <w:rPr>
          <w:rFonts w:cstheme="minorHAnsi"/>
        </w:rPr>
        <w:t xml:space="preserve">This is particularly relevant to </w:t>
      </w:r>
      <w:r w:rsidR="00910F17" w:rsidRPr="001E3FE0">
        <w:rPr>
          <w:rFonts w:cstheme="minorHAnsi"/>
        </w:rPr>
        <w:t xml:space="preserve">the Indo-Pacific, </w:t>
      </w:r>
      <w:r>
        <w:rPr>
          <w:rFonts w:cstheme="minorHAnsi"/>
        </w:rPr>
        <w:t xml:space="preserve">where </w:t>
      </w:r>
      <w:r w:rsidR="00910F17" w:rsidRPr="001E3FE0">
        <w:rPr>
          <w:rFonts w:cstheme="minorHAnsi"/>
        </w:rPr>
        <w:t xml:space="preserve">capacity to invest in emerging telecommunications technology is a significant issue, particularly for geographically </w:t>
      </w:r>
      <w:r w:rsidR="00506430">
        <w:rPr>
          <w:rFonts w:cstheme="minorHAnsi"/>
        </w:rPr>
        <w:t>dispersed</w:t>
      </w:r>
      <w:r w:rsidR="00910F17" w:rsidRPr="001E3FE0">
        <w:rPr>
          <w:rFonts w:cstheme="minorHAnsi"/>
        </w:rPr>
        <w:t xml:space="preserve"> archipelagic states. The ability of these states to take advantage of the benefits of high speed, low latency connections will require assistance to ensure they can access affordable communications and have the necessary governance structures to maintain competitive telecommunications markets and manage cyber threats and the cyber safety of their citizens. Australia has made significant investments in the Pacific in this regard</w:t>
      </w:r>
      <w:r>
        <w:rPr>
          <w:rFonts w:cstheme="minorHAnsi"/>
        </w:rPr>
        <w:t>,</w:t>
      </w:r>
      <w:r w:rsidR="00910F17" w:rsidRPr="001E3FE0">
        <w:rPr>
          <w:rFonts w:cstheme="minorHAnsi"/>
        </w:rPr>
        <w:t xml:space="preserve"> including the Coral Sea 2 Cable and cyber security assistance </w:t>
      </w:r>
      <w:r w:rsidR="00662386">
        <w:rPr>
          <w:rFonts w:cstheme="minorHAnsi"/>
        </w:rPr>
        <w:t>to</w:t>
      </w:r>
      <w:r w:rsidR="00910F17" w:rsidRPr="001E3FE0">
        <w:rPr>
          <w:rFonts w:cstheme="minorHAnsi"/>
        </w:rPr>
        <w:t xml:space="preserve"> P</w:t>
      </w:r>
      <w:r w:rsidR="00910F17">
        <w:rPr>
          <w:rFonts w:cstheme="minorHAnsi"/>
        </w:rPr>
        <w:t>apua New Guinea</w:t>
      </w:r>
      <w:r w:rsidR="00910F17" w:rsidRPr="001E3FE0">
        <w:rPr>
          <w:rFonts w:cstheme="minorHAnsi"/>
        </w:rPr>
        <w:t xml:space="preserve">.  </w:t>
      </w:r>
    </w:p>
    <w:p w14:paraId="1BE538BB" w14:textId="199DA0E3" w:rsidR="001E3FE0" w:rsidRDefault="00974357" w:rsidP="001E3FE0">
      <w:pPr>
        <w:rPr>
          <w:rFonts w:cstheme="minorHAnsi"/>
        </w:rPr>
      </w:pPr>
      <w:r>
        <w:rPr>
          <w:rFonts w:cstheme="minorHAnsi"/>
        </w:rPr>
        <w:t>Additionally, t</w:t>
      </w:r>
      <w:r w:rsidR="001E3FE0" w:rsidRPr="001E3FE0">
        <w:rPr>
          <w:rFonts w:cstheme="minorHAnsi"/>
        </w:rPr>
        <w:t xml:space="preserve">he spread of digital technologies creates profound economic opportunities but, at the same time, creates new vulnerabilities. Individuals, the private sector and governments around the world face an evolving array of cyber threats. An </w:t>
      </w:r>
      <w:r w:rsidR="001E3FE0" w:rsidRPr="001E3FE0">
        <w:rPr>
          <w:rFonts w:cstheme="minorHAnsi"/>
          <w:b/>
        </w:rPr>
        <w:t>open, free, and secure cyberspace</w:t>
      </w:r>
      <w:r w:rsidR="001E3FE0" w:rsidRPr="001E3FE0">
        <w:rPr>
          <w:rFonts w:cstheme="minorHAnsi"/>
        </w:rPr>
        <w:t xml:space="preserve"> is essential to the full realisation of the benefits of these new technologies. As more and more states seek to exert power and influence through cyberspace, there is increased potential for activities in this domain to lead to misperception, miscalculation, escalation and, in the most extreme cases, conflict.</w:t>
      </w:r>
    </w:p>
    <w:p w14:paraId="27BBFC74" w14:textId="037C3085" w:rsidR="00974357" w:rsidRPr="000327C6" w:rsidRDefault="00974357" w:rsidP="00974357">
      <w:pPr>
        <w:rPr>
          <w:i/>
        </w:rPr>
      </w:pPr>
      <w:r>
        <w:rPr>
          <w:i/>
        </w:rPr>
        <w:t>Privacy</w:t>
      </w:r>
    </w:p>
    <w:p w14:paraId="550E6179" w14:textId="03DFEB7D" w:rsidR="00475894" w:rsidRPr="00301763" w:rsidRDefault="00475894" w:rsidP="00475894">
      <w:pPr>
        <w:rPr>
          <w:rFonts w:cstheme="minorHAnsi"/>
        </w:rPr>
      </w:pPr>
      <w:r w:rsidRPr="00301763">
        <w:rPr>
          <w:rFonts w:cstheme="minorHAnsi"/>
        </w:rPr>
        <w:t>The adoption and growth of emerging technologies can</w:t>
      </w:r>
      <w:r w:rsidR="00974357">
        <w:rPr>
          <w:rFonts w:cstheme="minorHAnsi"/>
        </w:rPr>
        <w:t xml:space="preserve"> also</w:t>
      </w:r>
      <w:r w:rsidRPr="00301763">
        <w:rPr>
          <w:rFonts w:cstheme="minorHAnsi"/>
        </w:rPr>
        <w:t xml:space="preserve"> create privacy challenges. The Australian Government has been cautious in its use of emerging technologies and uses automation predominately for repetitive decisions of low complexity. Data practices used to inform emerging technologies, such as automated systems, can raise privacy concerns and emerging technologies should ensure that personal information is confidential and protected against data breaches. </w:t>
      </w:r>
    </w:p>
    <w:p w14:paraId="23BE53EC" w14:textId="0DC1B05A" w:rsidR="00475894" w:rsidRPr="00301763" w:rsidRDefault="00662386" w:rsidP="00475894">
      <w:pPr>
        <w:rPr>
          <w:rFonts w:cstheme="minorHAnsi"/>
        </w:rPr>
      </w:pPr>
      <w:r>
        <w:rPr>
          <w:rFonts w:cstheme="minorHAnsi"/>
        </w:rPr>
        <w:t>There are</w:t>
      </w:r>
      <w:r w:rsidR="00475894" w:rsidRPr="00301763">
        <w:rPr>
          <w:rFonts w:cstheme="minorHAnsi"/>
        </w:rPr>
        <w:t xml:space="preserve"> a number of issues that arise from government’s use of emerging technology (such as A</w:t>
      </w:r>
      <w:r w:rsidR="009866A9">
        <w:rPr>
          <w:rFonts w:cstheme="minorHAnsi"/>
        </w:rPr>
        <w:t xml:space="preserve">rtificial </w:t>
      </w:r>
      <w:r w:rsidR="00475894" w:rsidRPr="00301763">
        <w:rPr>
          <w:rFonts w:cstheme="minorHAnsi"/>
        </w:rPr>
        <w:t>I</w:t>
      </w:r>
      <w:r w:rsidR="009866A9">
        <w:rPr>
          <w:rFonts w:cstheme="minorHAnsi"/>
        </w:rPr>
        <w:t>ntelligence</w:t>
      </w:r>
      <w:r w:rsidR="00475894" w:rsidRPr="00301763">
        <w:rPr>
          <w:rFonts w:cstheme="minorHAnsi"/>
        </w:rPr>
        <w:t>) in service delivery and decision-making that impact on the administrative law, human rights and information law frameworks</w:t>
      </w:r>
      <w:r>
        <w:rPr>
          <w:rFonts w:cstheme="minorHAnsi"/>
        </w:rPr>
        <w:t xml:space="preserve">. These issues require </w:t>
      </w:r>
      <w:r w:rsidR="00475894" w:rsidRPr="00301763">
        <w:rPr>
          <w:rFonts w:cstheme="minorHAnsi"/>
        </w:rPr>
        <w:t>careful consideration.</w:t>
      </w:r>
      <w:r>
        <w:rPr>
          <w:rFonts w:cstheme="minorHAnsi"/>
        </w:rPr>
        <w:t xml:space="preserve"> Additionally, individuals may be unaware if how companies use, share and trade their personal information. Some uses can lead to beneficial and innovative service offerings, but others can involve sharing personal information in ways that do not meet community expectations. Again, careful consideration and balancing is required.</w:t>
      </w:r>
    </w:p>
    <w:p w14:paraId="30557852" w14:textId="5D175207" w:rsidR="00BE72C4" w:rsidRPr="000327C6" w:rsidRDefault="00D73227" w:rsidP="000327C6">
      <w:pPr>
        <w:rPr>
          <w:i/>
        </w:rPr>
      </w:pPr>
      <w:r w:rsidRPr="000327C6">
        <w:rPr>
          <w:i/>
        </w:rPr>
        <w:t>Skills development</w:t>
      </w:r>
    </w:p>
    <w:p w14:paraId="1C591FDE" w14:textId="4F31E162" w:rsidR="00D73227" w:rsidRPr="00301763" w:rsidRDefault="009866A9" w:rsidP="00475894">
      <w:pPr>
        <w:rPr>
          <w:rFonts w:cstheme="minorHAnsi"/>
          <w:color w:val="000000"/>
        </w:rPr>
      </w:pPr>
      <w:r>
        <w:rPr>
          <w:rFonts w:cstheme="minorHAnsi"/>
        </w:rPr>
        <w:t>In response to new and emerging telecommunications and ICTs, e</w:t>
      </w:r>
      <w:r w:rsidR="00D73227" w:rsidRPr="00301763">
        <w:rPr>
          <w:rFonts w:cstheme="minorHAnsi"/>
        </w:rPr>
        <w:t xml:space="preserve">xisting jobs are changing and new ones are being created. Businesses rely on the workforce to have the skills needed to drive digital transformation, develop new products and services and use digital tools at work. More than 90 % of Australians will need to use some level of digital skills at work within the next </w:t>
      </w:r>
      <w:r w:rsidR="00603CCC">
        <w:rPr>
          <w:rFonts w:cstheme="minorHAnsi"/>
        </w:rPr>
        <w:t>five</w:t>
      </w:r>
      <w:r w:rsidR="00D73227" w:rsidRPr="00301763">
        <w:rPr>
          <w:rFonts w:cstheme="minorHAnsi"/>
        </w:rPr>
        <w:t xml:space="preserve"> years.</w:t>
      </w:r>
    </w:p>
    <w:p w14:paraId="22284D09" w14:textId="3687577F" w:rsidR="00D73227" w:rsidRPr="00301763" w:rsidRDefault="00475894" w:rsidP="00475894">
      <w:pPr>
        <w:rPr>
          <w:rFonts w:cstheme="minorHAnsi"/>
          <w:color w:val="000000"/>
        </w:rPr>
      </w:pPr>
      <w:r w:rsidRPr="00301763">
        <w:rPr>
          <w:rFonts w:cstheme="minorHAnsi"/>
        </w:rPr>
        <w:lastRenderedPageBreak/>
        <w:t>A</w:t>
      </w:r>
      <w:r w:rsidR="00D73227" w:rsidRPr="00301763">
        <w:rPr>
          <w:rFonts w:cstheme="minorHAnsi"/>
        </w:rPr>
        <w:t xml:space="preserve"> skills pipeline that provides channels for individuals to develop a range of digital capabilities throughout their lives</w:t>
      </w:r>
      <w:r w:rsidRPr="00301763">
        <w:rPr>
          <w:rFonts w:cstheme="minorHAnsi"/>
        </w:rPr>
        <w:t xml:space="preserve"> is essential</w:t>
      </w:r>
      <w:r w:rsidR="00D73227" w:rsidRPr="00301763">
        <w:rPr>
          <w:rFonts w:cstheme="minorHAnsi"/>
        </w:rPr>
        <w:t>. This includes basic digital foundation skills at school through to post</w:t>
      </w:r>
      <w:r w:rsidRPr="00301763">
        <w:rPr>
          <w:rFonts w:cstheme="minorHAnsi"/>
        </w:rPr>
        <w:noBreakHyphen/>
      </w:r>
      <w:r w:rsidR="00D73227" w:rsidRPr="00301763">
        <w:rPr>
          <w:rFonts w:cstheme="minorHAnsi"/>
        </w:rPr>
        <w:t>grad</w:t>
      </w:r>
      <w:r w:rsidR="00E33572">
        <w:rPr>
          <w:rFonts w:cstheme="minorHAnsi"/>
        </w:rPr>
        <w:t>uate</w:t>
      </w:r>
      <w:r w:rsidR="00D73227" w:rsidRPr="00301763">
        <w:rPr>
          <w:rFonts w:cstheme="minorHAnsi"/>
        </w:rPr>
        <w:t xml:space="preserve"> studies in emerging technologies and reskilling opportunities for transitioning workers.</w:t>
      </w:r>
    </w:p>
    <w:p w14:paraId="2B8C1799" w14:textId="151A1A39" w:rsidR="000E3979" w:rsidRPr="00301763" w:rsidRDefault="002B7C31" w:rsidP="005D4724">
      <w:pPr>
        <w:pStyle w:val="Heading3"/>
        <w:spacing w:before="240" w:after="120" w:line="240" w:lineRule="auto"/>
        <w:jc w:val="both"/>
        <w:rPr>
          <w:rFonts w:asciiTheme="minorHAnsi" w:hAnsiTheme="minorHAnsi" w:cstheme="minorHAnsi"/>
          <w:b/>
          <w:bCs/>
          <w:color w:val="auto"/>
        </w:rPr>
      </w:pPr>
      <w:r w:rsidRPr="00301763">
        <w:rPr>
          <w:rFonts w:asciiTheme="minorHAnsi" w:hAnsiTheme="minorHAnsi" w:cstheme="minorHAnsi"/>
          <w:b/>
          <w:bCs/>
          <w:color w:val="auto"/>
        </w:rPr>
        <w:t xml:space="preserve">Question 3: </w:t>
      </w:r>
    </w:p>
    <w:p w14:paraId="57CE2ED2" w14:textId="28728A77" w:rsidR="00EC195B" w:rsidRDefault="00EC195B" w:rsidP="005D4724">
      <w:pPr>
        <w:spacing w:before="100" w:beforeAutospacing="1" w:after="100" w:afterAutospacing="1" w:line="240" w:lineRule="atLeast"/>
        <w:jc w:val="both"/>
        <w:rPr>
          <w:rFonts w:eastAsia="Times New Roman" w:cstheme="minorHAnsi"/>
          <w:b/>
          <w:bCs/>
          <w:color w:val="000000"/>
          <w:sz w:val="24"/>
          <w:szCs w:val="24"/>
        </w:rPr>
      </w:pPr>
      <w:r w:rsidRPr="00301763">
        <w:rPr>
          <w:rFonts w:eastAsia="Times New Roman" w:cstheme="minorHAnsi"/>
          <w:b/>
          <w:bCs/>
          <w:color w:val="000000"/>
          <w:sz w:val="24"/>
          <w:szCs w:val="24"/>
        </w:rPr>
        <w:t>How can governments and the other stakeholders harness the benefits of new and emerging telecommunications/ICTs?</w:t>
      </w:r>
    </w:p>
    <w:p w14:paraId="046A3DA6" w14:textId="36A0C668" w:rsidR="001E2CD2" w:rsidRPr="003535F0" w:rsidRDefault="001E2CD2" w:rsidP="001E2CD2">
      <w:pPr>
        <w:rPr>
          <w:i/>
        </w:rPr>
      </w:pPr>
      <w:r>
        <w:rPr>
          <w:i/>
        </w:rPr>
        <w:t>General comments</w:t>
      </w:r>
    </w:p>
    <w:p w14:paraId="7ACBBA4E" w14:textId="77777777" w:rsidR="001E2CD2" w:rsidRPr="00FB3E01" w:rsidRDefault="001E2CD2" w:rsidP="001E2CD2">
      <w:pPr>
        <w:rPr>
          <w:rFonts w:cstheme="minorHAnsi"/>
        </w:rPr>
      </w:pPr>
      <w:r w:rsidRPr="00FB3E01">
        <w:rPr>
          <w:rFonts w:cstheme="minorHAnsi"/>
        </w:rPr>
        <w:t>Governments can play an important role in working with industry and the community to facilitate access to new ICTs. This includes providing an appropriate enabling environment in terms of access to necessary inputs (e.g. spectrum, and rights of way), pre-empting or mitigating potential harms or concerns (e.g. through regulation or education) and promoting awareness of the social and economic benefits of new ICTs.</w:t>
      </w:r>
    </w:p>
    <w:p w14:paraId="74B73A98" w14:textId="47251EE5" w:rsidR="001E2CD2" w:rsidRPr="00FB3E01" w:rsidRDefault="001E2CD2" w:rsidP="001E2CD2">
      <w:pPr>
        <w:rPr>
          <w:rFonts w:cstheme="minorHAnsi"/>
        </w:rPr>
      </w:pPr>
      <w:r w:rsidRPr="00FB3E01">
        <w:rPr>
          <w:rFonts w:cstheme="minorHAnsi"/>
        </w:rPr>
        <w:t xml:space="preserve">Providing industry with a commercial and competitive operating environment is </w:t>
      </w:r>
      <w:r>
        <w:rPr>
          <w:rFonts w:cstheme="minorHAnsi"/>
        </w:rPr>
        <w:t xml:space="preserve">also </w:t>
      </w:r>
      <w:r w:rsidRPr="00FB3E01">
        <w:rPr>
          <w:rFonts w:cstheme="minorHAnsi"/>
        </w:rPr>
        <w:t>important to capturing the benefits of new ICTs, including in terms of their development, deployment, distribution, utili</w:t>
      </w:r>
      <w:r w:rsidR="00A16497">
        <w:rPr>
          <w:rFonts w:cstheme="minorHAnsi"/>
        </w:rPr>
        <w:t>s</w:t>
      </w:r>
      <w:r w:rsidRPr="00FB3E01">
        <w:rPr>
          <w:rFonts w:cstheme="minorHAnsi"/>
        </w:rPr>
        <w:t xml:space="preserve">ation and refinement (innovation). </w:t>
      </w:r>
    </w:p>
    <w:p w14:paraId="344FC797" w14:textId="46AFFF9D" w:rsidR="001E2CD2" w:rsidRPr="00FB3E01" w:rsidRDefault="00B5767E" w:rsidP="001E2CD2">
      <w:pPr>
        <w:rPr>
          <w:rFonts w:cstheme="minorHAnsi"/>
        </w:rPr>
      </w:pPr>
      <w:r>
        <w:rPr>
          <w:rFonts w:cstheme="minorHAnsi"/>
        </w:rPr>
        <w:t xml:space="preserve">For example, in relation to </w:t>
      </w:r>
      <w:r w:rsidR="001E2CD2">
        <w:rPr>
          <w:rFonts w:cstheme="minorHAnsi"/>
        </w:rPr>
        <w:t>5G,</w:t>
      </w:r>
      <w:r w:rsidR="001E2CD2" w:rsidRPr="00FB3E01">
        <w:rPr>
          <w:rFonts w:cstheme="minorHAnsi"/>
        </w:rPr>
        <w:t xml:space="preserve"> Australia has put in place a strategy to support the rollout and use of 5G, setting objectives and clear concrete measures government will take. Australia also established a 5G Working Group to bring to together stakeholders and raise awareness of the opportunities 5G offers in vertical sectors like transport, agriculture and health.</w:t>
      </w:r>
    </w:p>
    <w:p w14:paraId="73A8B4C2" w14:textId="68DB2451" w:rsidR="001E2CD2" w:rsidRPr="00FB3E01" w:rsidRDefault="001E2CD2" w:rsidP="001E2CD2">
      <w:pPr>
        <w:rPr>
          <w:rFonts w:cstheme="minorHAnsi"/>
        </w:rPr>
      </w:pPr>
      <w:r>
        <w:rPr>
          <w:rFonts w:cstheme="minorHAnsi"/>
        </w:rPr>
        <w:t xml:space="preserve">Similarly, </w:t>
      </w:r>
      <w:r w:rsidRPr="00FB3E01">
        <w:rPr>
          <w:rFonts w:cstheme="minorHAnsi"/>
        </w:rPr>
        <w:t>Australian governments at all levels have recogni</w:t>
      </w:r>
      <w:r w:rsidR="00432C8A">
        <w:rPr>
          <w:rFonts w:cstheme="minorHAnsi"/>
        </w:rPr>
        <w:t>s</w:t>
      </w:r>
      <w:r w:rsidRPr="00FB3E01">
        <w:rPr>
          <w:rFonts w:cstheme="minorHAnsi"/>
        </w:rPr>
        <w:t>ed that it can be difficult for large scale IoT projects to get off the ground, particularly where the pay-offs are long–term and relate to social benefits rather than financial advantage. All levels of government in Australia have therefore fostered investment in IoT projects through public-private partnerships.</w:t>
      </w:r>
    </w:p>
    <w:p w14:paraId="2A2B6C91" w14:textId="77777777" w:rsidR="001E2CD2" w:rsidRDefault="001E2CD2" w:rsidP="001E2CD2">
      <w:pPr>
        <w:rPr>
          <w:rFonts w:cstheme="minorHAnsi"/>
        </w:rPr>
      </w:pPr>
      <w:r>
        <w:rPr>
          <w:rFonts w:cstheme="minorHAnsi"/>
        </w:rPr>
        <w:t xml:space="preserve">Other activities undertaken by the Australian Government </w:t>
      </w:r>
      <w:r w:rsidRPr="00685A23">
        <w:rPr>
          <w:rFonts w:cstheme="minorHAnsi"/>
        </w:rPr>
        <w:t>Department of Communications and the Arts (DoCA)</w:t>
      </w:r>
      <w:r>
        <w:rPr>
          <w:rFonts w:cstheme="minorHAnsi"/>
        </w:rPr>
        <w:t xml:space="preserve"> to harness the benefits of new and emerging telecommunications/ICTs include:</w:t>
      </w:r>
    </w:p>
    <w:p w14:paraId="5EF0B457" w14:textId="6238C954" w:rsidR="001E2CD2" w:rsidRPr="00685A23" w:rsidRDefault="001E2CD2" w:rsidP="001E2CD2">
      <w:pPr>
        <w:pStyle w:val="ListParagraph"/>
        <w:numPr>
          <w:ilvl w:val="0"/>
          <w:numId w:val="17"/>
        </w:numPr>
        <w:rPr>
          <w:rFonts w:cstheme="minorHAnsi"/>
        </w:rPr>
      </w:pPr>
      <w:r>
        <w:rPr>
          <w:rFonts w:cstheme="minorHAnsi"/>
        </w:rPr>
        <w:t>W</w:t>
      </w:r>
      <w:r w:rsidRPr="00685A23">
        <w:rPr>
          <w:rFonts w:cstheme="minorHAnsi"/>
        </w:rPr>
        <w:t xml:space="preserve">orking with Commonwealth, state and territory, and local governments to foster better use of existing and emerging communications technologies as part of City Deals and Regional Deals. </w:t>
      </w:r>
    </w:p>
    <w:p w14:paraId="53435A40" w14:textId="3790823E" w:rsidR="001E2CD2" w:rsidRPr="00685A23" w:rsidRDefault="001E2CD2" w:rsidP="001E2CD2">
      <w:pPr>
        <w:pStyle w:val="ListParagraph"/>
        <w:numPr>
          <w:ilvl w:val="0"/>
          <w:numId w:val="17"/>
        </w:numPr>
        <w:rPr>
          <w:rFonts w:cstheme="minorHAnsi"/>
        </w:rPr>
      </w:pPr>
      <w:r>
        <w:rPr>
          <w:rFonts w:cstheme="minorHAnsi"/>
        </w:rPr>
        <w:t>C</w:t>
      </w:r>
      <w:r w:rsidRPr="00685A23">
        <w:rPr>
          <w:rFonts w:cstheme="minorHAnsi"/>
        </w:rPr>
        <w:t xml:space="preserve">o-funding a Horizon Scanning report by the Australian Council of Learned Academies to examine the impact of IoT in Australia over the coming decade. </w:t>
      </w:r>
    </w:p>
    <w:p w14:paraId="12E545E4" w14:textId="0A190585" w:rsidR="001E2CD2" w:rsidRDefault="00AF47A8" w:rsidP="001E2CD2">
      <w:pPr>
        <w:rPr>
          <w:rFonts w:cstheme="minorHAnsi"/>
        </w:rPr>
      </w:pPr>
      <w:r>
        <w:rPr>
          <w:rFonts w:cstheme="minorHAnsi"/>
        </w:rPr>
        <w:t>Additionally, g</w:t>
      </w:r>
      <w:r w:rsidR="001E2CD2" w:rsidRPr="001E3FE0">
        <w:rPr>
          <w:rFonts w:cstheme="minorHAnsi"/>
        </w:rPr>
        <w:t>overnments in the Indo-Pacific recognise the importance of the Internet to their future economic growth and prosperity and are increasingly aware of the need to address the associated challenges. They are reaching out to Australia, other donors, institutions, multilateral partners and the non</w:t>
      </w:r>
      <w:r w:rsidR="001E2CD2">
        <w:rPr>
          <w:rFonts w:cstheme="minorHAnsi"/>
        </w:rPr>
        <w:noBreakHyphen/>
      </w:r>
      <w:r w:rsidR="001E2CD2" w:rsidRPr="001E3FE0">
        <w:rPr>
          <w:rFonts w:cstheme="minorHAnsi"/>
        </w:rPr>
        <w:t xml:space="preserve">government organisation (NGO) community to help develop and strengthen their institutional capacity to respond to new threats, vulnerabilities and risks, understand their obligations online, respect and protect individual rights, while making best use of the Internet to drive economic growth, protect national security and promote international stability. </w:t>
      </w:r>
    </w:p>
    <w:p w14:paraId="00B6F41A" w14:textId="0EB39A07" w:rsidR="001E2CD2" w:rsidRPr="009162DF" w:rsidRDefault="00432C8A" w:rsidP="001E2CD2">
      <w:pPr>
        <w:rPr>
          <w:rFonts w:eastAsiaTheme="minorHAnsi"/>
          <w:color w:val="44546A" w:themeColor="text2"/>
          <w:lang w:val="en-GB" w:eastAsia="en-US"/>
        </w:rPr>
      </w:pPr>
      <w:r>
        <w:rPr>
          <w:rFonts w:cstheme="minorHAnsi"/>
        </w:rPr>
        <w:t>For Australia, t</w:t>
      </w:r>
      <w:r w:rsidR="001E2CD2">
        <w:rPr>
          <w:rFonts w:cstheme="minorHAnsi"/>
        </w:rPr>
        <w:t xml:space="preserve">he </w:t>
      </w:r>
      <w:r w:rsidR="001E2CD2" w:rsidRPr="001E3FE0">
        <w:rPr>
          <w:rFonts w:cstheme="minorHAnsi"/>
        </w:rPr>
        <w:t>D</w:t>
      </w:r>
      <w:r w:rsidR="001E2CD2">
        <w:rPr>
          <w:rFonts w:cstheme="minorHAnsi"/>
        </w:rPr>
        <w:t xml:space="preserve">epartment of </w:t>
      </w:r>
      <w:r w:rsidR="001E2CD2" w:rsidRPr="001E3FE0">
        <w:rPr>
          <w:rFonts w:cstheme="minorHAnsi"/>
        </w:rPr>
        <w:t>F</w:t>
      </w:r>
      <w:r w:rsidR="001E2CD2">
        <w:rPr>
          <w:rFonts w:cstheme="minorHAnsi"/>
        </w:rPr>
        <w:t xml:space="preserve">oreign </w:t>
      </w:r>
      <w:r w:rsidR="001E2CD2" w:rsidRPr="001E3FE0">
        <w:rPr>
          <w:rFonts w:cstheme="minorHAnsi"/>
        </w:rPr>
        <w:t>A</w:t>
      </w:r>
      <w:r w:rsidR="001E2CD2">
        <w:rPr>
          <w:rFonts w:cstheme="minorHAnsi"/>
        </w:rPr>
        <w:t>ffairs and Trade’s</w:t>
      </w:r>
      <w:r w:rsidR="001E2CD2" w:rsidRPr="009162DF">
        <w:rPr>
          <w:rFonts w:eastAsiaTheme="minorHAnsi"/>
          <w:color w:val="44546A" w:themeColor="text2"/>
          <w:lang w:val="en-GB" w:eastAsia="en-US"/>
        </w:rPr>
        <w:t xml:space="preserve"> </w:t>
      </w:r>
      <w:hyperlink r:id="rId13" w:history="1">
        <w:r w:rsidR="001E2CD2" w:rsidRPr="00634603">
          <w:rPr>
            <w:rStyle w:val="Hyperlink"/>
            <w:rFonts w:eastAsiaTheme="minorHAnsi"/>
            <w:lang w:val="en-GB" w:eastAsia="en-US"/>
          </w:rPr>
          <w:t>Cyber Cooperation Program</w:t>
        </w:r>
      </w:hyperlink>
      <w:r w:rsidR="001E2CD2" w:rsidRPr="009162DF">
        <w:rPr>
          <w:rFonts w:eastAsiaTheme="minorHAnsi"/>
          <w:color w:val="44546A" w:themeColor="text2"/>
          <w:lang w:val="en-GB" w:eastAsia="en-US"/>
        </w:rPr>
        <w:t xml:space="preserve"> </w:t>
      </w:r>
      <w:r w:rsidR="001E2CD2" w:rsidRPr="001E3FE0">
        <w:rPr>
          <w:rFonts w:cstheme="minorHAnsi"/>
        </w:rPr>
        <w:t xml:space="preserve">is one avenue in which </w:t>
      </w:r>
      <w:r>
        <w:rPr>
          <w:rFonts w:cstheme="minorHAnsi"/>
        </w:rPr>
        <w:t xml:space="preserve">we </w:t>
      </w:r>
      <w:r w:rsidR="001E2CD2" w:rsidRPr="001E3FE0">
        <w:rPr>
          <w:rFonts w:cstheme="minorHAnsi"/>
        </w:rPr>
        <w:t xml:space="preserve">assist governments in the region </w:t>
      </w:r>
      <w:r w:rsidR="006D7038">
        <w:rPr>
          <w:rFonts w:cstheme="minorHAnsi"/>
        </w:rPr>
        <w:t xml:space="preserve">to </w:t>
      </w:r>
      <w:r w:rsidR="001E2CD2" w:rsidRPr="001E3FE0">
        <w:rPr>
          <w:rFonts w:cstheme="minorHAnsi"/>
        </w:rPr>
        <w:t>harness the benefits of new and emerging telecommunications/ICTs. For example, we have supported a</w:t>
      </w:r>
      <w:r w:rsidR="001E2CD2">
        <w:t xml:space="preserve"> </w:t>
      </w:r>
      <w:hyperlink r:id="rId14" w:history="1">
        <w:r w:rsidR="001E2CD2" w:rsidRPr="00C31EC0">
          <w:rPr>
            <w:rStyle w:val="Hyperlink"/>
          </w:rPr>
          <w:t>technology for development challenge</w:t>
        </w:r>
      </w:hyperlink>
      <w:r w:rsidR="001E2CD2" w:rsidRPr="009A2F62">
        <w:t xml:space="preserve"> </w:t>
      </w:r>
      <w:r w:rsidR="001E2CD2" w:rsidRPr="001E3FE0">
        <w:rPr>
          <w:rFonts w:cstheme="minorHAnsi"/>
        </w:rPr>
        <w:t xml:space="preserve">in </w:t>
      </w:r>
      <w:r w:rsidR="001E2CD2" w:rsidRPr="001E3FE0">
        <w:rPr>
          <w:rFonts w:cstheme="minorHAnsi"/>
        </w:rPr>
        <w:lastRenderedPageBreak/>
        <w:t>the Solomon Islands that sought resilient and sustainable technology solutions where cyber security and privacy were inherit by design.</w:t>
      </w:r>
      <w:r w:rsidR="001E2CD2" w:rsidRPr="009162DF">
        <w:rPr>
          <w:rFonts w:eastAsiaTheme="minorHAnsi"/>
          <w:color w:val="44546A" w:themeColor="text2"/>
          <w:lang w:val="en-GB" w:eastAsia="en-US"/>
        </w:rPr>
        <w:t xml:space="preserve"> </w:t>
      </w:r>
    </w:p>
    <w:p w14:paraId="48F3531F" w14:textId="77777777" w:rsidR="005D024B" w:rsidRPr="003535F0" w:rsidRDefault="005D024B" w:rsidP="003535F0">
      <w:pPr>
        <w:rPr>
          <w:i/>
        </w:rPr>
      </w:pPr>
      <w:r w:rsidRPr="003535F0">
        <w:rPr>
          <w:i/>
        </w:rPr>
        <w:t>Digital infrastructure</w:t>
      </w:r>
    </w:p>
    <w:p w14:paraId="39C89EFC" w14:textId="77777777" w:rsidR="005D024B" w:rsidRPr="00301763" w:rsidRDefault="005D024B" w:rsidP="005D024B">
      <w:pPr>
        <w:rPr>
          <w:rFonts w:cstheme="minorHAnsi"/>
        </w:rPr>
      </w:pPr>
      <w:r w:rsidRPr="00301763">
        <w:rPr>
          <w:rFonts w:cstheme="minorHAnsi"/>
        </w:rPr>
        <w:t>Access to critical productivity-enhancing infrastructure is essential to take advantage of emerging technology and support the growth in the use of digital products and services.</w:t>
      </w:r>
    </w:p>
    <w:p w14:paraId="6087F167" w14:textId="77777777" w:rsidR="005D024B" w:rsidRPr="00301763" w:rsidRDefault="005D024B" w:rsidP="005D024B">
      <w:pPr>
        <w:rPr>
          <w:rFonts w:cstheme="minorHAnsi"/>
        </w:rPr>
      </w:pPr>
      <w:r w:rsidRPr="00301763">
        <w:rPr>
          <w:rFonts w:cstheme="minorHAnsi"/>
        </w:rPr>
        <w:t>Government’s role is to create the right enabling environment to ensure digital infrastructure supports changing business and community needs and takes best advantage of the innovation opportunities.</w:t>
      </w:r>
    </w:p>
    <w:p w14:paraId="5A44DDAC" w14:textId="77777777" w:rsidR="005D024B" w:rsidRPr="00301763" w:rsidRDefault="005D024B" w:rsidP="005D024B">
      <w:pPr>
        <w:rPr>
          <w:rFonts w:cstheme="minorHAnsi"/>
        </w:rPr>
      </w:pPr>
      <w:r w:rsidRPr="00301763">
        <w:rPr>
          <w:rFonts w:cstheme="minorHAnsi"/>
        </w:rPr>
        <w:t xml:space="preserve">The level of private sector and government investment in digital infrastructure will be a key determinant of how fast emerging technologies can be adopted, along with associated policy and regulatory approaches. </w:t>
      </w:r>
    </w:p>
    <w:p w14:paraId="52F44119" w14:textId="77777777" w:rsidR="00475894" w:rsidRPr="003535F0" w:rsidRDefault="00475894" w:rsidP="003535F0">
      <w:pPr>
        <w:rPr>
          <w:i/>
        </w:rPr>
      </w:pPr>
      <w:r w:rsidRPr="003535F0">
        <w:rPr>
          <w:i/>
        </w:rPr>
        <w:t xml:space="preserve">Harnessing benefits through careful alignment with legal requirements </w:t>
      </w:r>
    </w:p>
    <w:p w14:paraId="7F724D38" w14:textId="090217A1" w:rsidR="00475894" w:rsidRPr="00301763" w:rsidRDefault="00475894" w:rsidP="00475894">
      <w:pPr>
        <w:rPr>
          <w:rFonts w:cstheme="minorHAnsi"/>
        </w:rPr>
      </w:pPr>
      <w:r w:rsidRPr="00301763">
        <w:rPr>
          <w:rFonts w:cstheme="minorHAnsi"/>
        </w:rPr>
        <w:t xml:space="preserve">Technological developments present an abundance of opportunities to government to streamline and enhance the consistency and efficiency of service delivery and decision-making. Yet </w:t>
      </w:r>
      <w:r w:rsidR="00432C8A" w:rsidRPr="00301763">
        <w:rPr>
          <w:rFonts w:cstheme="minorHAnsi"/>
        </w:rPr>
        <w:t>g</w:t>
      </w:r>
      <w:r w:rsidR="00432C8A">
        <w:rPr>
          <w:rFonts w:cstheme="minorHAnsi"/>
        </w:rPr>
        <w:t>i</w:t>
      </w:r>
      <w:r w:rsidR="00432C8A" w:rsidRPr="00301763">
        <w:rPr>
          <w:rFonts w:cstheme="minorHAnsi"/>
        </w:rPr>
        <w:t>ven</w:t>
      </w:r>
      <w:r w:rsidRPr="00301763">
        <w:rPr>
          <w:rFonts w:cstheme="minorHAnsi"/>
        </w:rPr>
        <w:t xml:space="preserve"> government’s significant information-gathering powers, there is a need to ensure that new technologies align with the legal requirements of administrative law, human rights and information laws in each </w:t>
      </w:r>
      <w:r w:rsidR="00506430">
        <w:rPr>
          <w:rFonts w:cstheme="minorHAnsi"/>
        </w:rPr>
        <w:t>country</w:t>
      </w:r>
      <w:r w:rsidRPr="00301763">
        <w:rPr>
          <w:rFonts w:cstheme="minorHAnsi"/>
        </w:rPr>
        <w:t xml:space="preserve"> and internationally.</w:t>
      </w:r>
    </w:p>
    <w:p w14:paraId="6D2E5A3C" w14:textId="762B36B6" w:rsidR="00B965D5" w:rsidRPr="00301763" w:rsidRDefault="00B965D5" w:rsidP="005D4724">
      <w:pPr>
        <w:pStyle w:val="Heading3"/>
        <w:spacing w:before="240" w:after="120" w:line="240" w:lineRule="auto"/>
        <w:jc w:val="both"/>
        <w:rPr>
          <w:rFonts w:asciiTheme="minorHAnsi" w:hAnsiTheme="minorHAnsi" w:cstheme="minorHAnsi"/>
          <w:b/>
          <w:bCs/>
          <w:color w:val="auto"/>
        </w:rPr>
      </w:pPr>
      <w:r w:rsidRPr="00301763">
        <w:rPr>
          <w:rFonts w:asciiTheme="minorHAnsi" w:hAnsiTheme="minorHAnsi" w:cstheme="minorHAnsi"/>
          <w:b/>
          <w:bCs/>
          <w:color w:val="auto"/>
        </w:rPr>
        <w:t xml:space="preserve">Question 4: </w:t>
      </w:r>
    </w:p>
    <w:p w14:paraId="60B1A47D" w14:textId="09193375" w:rsidR="00EC195B" w:rsidRPr="00301763" w:rsidRDefault="00EC195B" w:rsidP="005D4724">
      <w:pPr>
        <w:spacing w:before="100" w:beforeAutospacing="1" w:after="100" w:afterAutospacing="1" w:line="240" w:lineRule="atLeast"/>
        <w:jc w:val="both"/>
        <w:rPr>
          <w:rFonts w:cstheme="minorHAnsi"/>
          <w:b/>
          <w:bCs/>
          <w:color w:val="000000"/>
          <w:sz w:val="24"/>
          <w:szCs w:val="24"/>
        </w:rPr>
      </w:pPr>
      <w:r w:rsidRPr="00301763">
        <w:rPr>
          <w:rFonts w:cstheme="minorHAnsi"/>
          <w:b/>
          <w:bCs/>
          <w:color w:val="000000"/>
          <w:sz w:val="24"/>
          <w:szCs w:val="24"/>
        </w:rPr>
        <w:t>What are the best practices for promoting human skills, institutional capacity, innovation and investment for new and emerging telecommunications/ICTs?​</w:t>
      </w:r>
    </w:p>
    <w:p w14:paraId="1CF00A36" w14:textId="64FC5965" w:rsidR="00AC2536" w:rsidRPr="003535F0" w:rsidRDefault="00AC2536" w:rsidP="00AC2536">
      <w:pPr>
        <w:rPr>
          <w:i/>
        </w:rPr>
      </w:pPr>
      <w:r>
        <w:rPr>
          <w:i/>
        </w:rPr>
        <w:t>Collaboration across sectors</w:t>
      </w:r>
    </w:p>
    <w:p w14:paraId="3F7DF5C5" w14:textId="64EF087E" w:rsidR="001318B2" w:rsidRDefault="001318B2" w:rsidP="001318B2">
      <w:pPr>
        <w:rPr>
          <w:rFonts w:cstheme="minorHAnsi"/>
        </w:rPr>
      </w:pPr>
      <w:r w:rsidRPr="001E3FE0">
        <w:rPr>
          <w:rFonts w:cstheme="minorHAnsi"/>
        </w:rPr>
        <w:t xml:space="preserve">Australia takes a collaborative approach to strengthening human skills, institutional capacity and innovation across the Indo-Pacific. Cyberspace is a network which requires coordinated international responses, partnerships between governments and collaboration with the private sector. This approach enables us to draw on a diverse range of expertise, industry experience and skills to deliver outcomes. The Cyber Cooperation Program works with over 25 delivery partners in our region. We have engaged a range of private sector partners </w:t>
      </w:r>
      <w:r>
        <w:rPr>
          <w:rFonts w:cstheme="minorHAnsi"/>
        </w:rPr>
        <w:t>to deliver activities, including</w:t>
      </w:r>
      <w:r w:rsidRPr="001E3FE0">
        <w:rPr>
          <w:rFonts w:cstheme="minorHAnsi"/>
        </w:rPr>
        <w:t xml:space="preserve"> with Qantas, the Association of Asia Pacific Airlines</w:t>
      </w:r>
      <w:r>
        <w:rPr>
          <w:rFonts w:cstheme="minorHAnsi"/>
        </w:rPr>
        <w:t>,</w:t>
      </w:r>
      <w:r w:rsidRPr="001E3FE0">
        <w:rPr>
          <w:rFonts w:cstheme="minorHAnsi"/>
        </w:rPr>
        <w:t xml:space="preserve"> and Ernst and Young on the Aviation Cyber Resilience Project in the ASEAN region</w:t>
      </w:r>
      <w:r>
        <w:rPr>
          <w:rFonts w:cstheme="minorHAnsi"/>
        </w:rPr>
        <w:t>;</w:t>
      </w:r>
      <w:r w:rsidRPr="001E3FE0">
        <w:rPr>
          <w:rFonts w:cstheme="minorHAnsi"/>
        </w:rPr>
        <w:t xml:space="preserve"> cyber security specialists FireEye and Ionize to deliver cyber security capability across the Pacific; and Telstra to provide advice and training on the role of Internet Service Providers in responding to and managing cybercrime and cyber incidents. </w:t>
      </w:r>
    </w:p>
    <w:p w14:paraId="4ACF14FD" w14:textId="2E2A3A06" w:rsidR="00AC2536" w:rsidRPr="003535F0" w:rsidRDefault="00AC2536" w:rsidP="00AC2536">
      <w:pPr>
        <w:rPr>
          <w:i/>
        </w:rPr>
      </w:pPr>
      <w:r>
        <w:rPr>
          <w:i/>
        </w:rPr>
        <w:t>Building digital capacity</w:t>
      </w:r>
    </w:p>
    <w:p w14:paraId="6C8F6FF8" w14:textId="66EA2E3C" w:rsidR="00FB3E01" w:rsidRDefault="00FB3E01" w:rsidP="00FB3E01">
      <w:r>
        <w:t>Australia is</w:t>
      </w:r>
      <w:r w:rsidR="00AF47A8">
        <w:t xml:space="preserve"> also</w:t>
      </w:r>
      <w:r>
        <w:t xml:space="preserve"> working to build digital capacity and partnerships on many fronts, including the use of 5G and IoT in multiple industry sectors. This includes for example, the identification of strategic priorities and measures to achieve them</w:t>
      </w:r>
      <w:r w:rsidR="001318B2">
        <w:t xml:space="preserve">; </w:t>
      </w:r>
      <w:r>
        <w:t>the identification of priority training areas and the allocation of resources to them</w:t>
      </w:r>
      <w:r w:rsidR="001318B2">
        <w:t>;</w:t>
      </w:r>
      <w:r>
        <w:t xml:space="preserve"> the establishment of research centres of excellence and similar bodies</w:t>
      </w:r>
      <w:r w:rsidR="001318B2">
        <w:t>;</w:t>
      </w:r>
      <w:r>
        <w:t xml:space="preserve"> providing funding and other incentives for research and development</w:t>
      </w:r>
      <w:r w:rsidR="001318B2">
        <w:t>; and</w:t>
      </w:r>
      <w:r>
        <w:t xml:space="preserve"> fostering collaboration within and between academia, industry and government. </w:t>
      </w:r>
      <w:r w:rsidR="001318B2">
        <w:t xml:space="preserve">Considering the </w:t>
      </w:r>
      <w:r>
        <w:t>pervasive role of ICTs in modern life</w:t>
      </w:r>
      <w:r w:rsidR="001318B2">
        <w:t>,</w:t>
      </w:r>
      <w:r>
        <w:t xml:space="preserve"> digital literacy for citizens across the community is a high priority.</w:t>
      </w:r>
    </w:p>
    <w:p w14:paraId="0D97B16D" w14:textId="2E70B073" w:rsidR="00AC2536" w:rsidRPr="003535F0" w:rsidRDefault="00AC2536" w:rsidP="00AC2536">
      <w:pPr>
        <w:rPr>
          <w:i/>
        </w:rPr>
      </w:pPr>
      <w:r>
        <w:rPr>
          <w:i/>
        </w:rPr>
        <w:lastRenderedPageBreak/>
        <w:t>Privacy – cross border data flows</w:t>
      </w:r>
    </w:p>
    <w:p w14:paraId="5E35C595" w14:textId="72F90D1C" w:rsidR="00475894" w:rsidRPr="00301763" w:rsidRDefault="00475894" w:rsidP="00475894">
      <w:pPr>
        <w:rPr>
          <w:rFonts w:cstheme="minorHAnsi"/>
        </w:rPr>
      </w:pPr>
      <w:r w:rsidRPr="00301763">
        <w:rPr>
          <w:rFonts w:cstheme="minorHAnsi"/>
        </w:rPr>
        <w:t>The</w:t>
      </w:r>
      <w:r w:rsidR="00432C8A">
        <w:rPr>
          <w:rFonts w:cstheme="minorHAnsi"/>
        </w:rPr>
        <w:t xml:space="preserve"> Asia Pacific Economic Cooperation</w:t>
      </w:r>
      <w:r w:rsidRPr="00301763">
        <w:rPr>
          <w:rFonts w:cstheme="minorHAnsi"/>
        </w:rPr>
        <w:t xml:space="preserve"> </w:t>
      </w:r>
      <w:r w:rsidR="00432C8A">
        <w:rPr>
          <w:rFonts w:cstheme="minorHAnsi"/>
        </w:rPr>
        <w:t>(</w:t>
      </w:r>
      <w:r w:rsidRPr="00301763">
        <w:rPr>
          <w:rFonts w:cstheme="minorHAnsi"/>
        </w:rPr>
        <w:t>APEC</w:t>
      </w:r>
      <w:r w:rsidR="00432C8A">
        <w:rPr>
          <w:rFonts w:cstheme="minorHAnsi"/>
        </w:rPr>
        <w:t>)</w:t>
      </w:r>
      <w:r w:rsidRPr="00301763">
        <w:rPr>
          <w:rFonts w:cstheme="minorHAnsi"/>
        </w:rPr>
        <w:t xml:space="preserve"> Cross Border Privacy Rules (CBPR) system provides a mechanism to facilitate the flow of personal information across borders (predominantly through e</w:t>
      </w:r>
      <w:r w:rsidR="00663312">
        <w:rPr>
          <w:rFonts w:cstheme="minorHAnsi"/>
        </w:rPr>
        <w:noBreakHyphen/>
      </w:r>
      <w:r w:rsidRPr="00301763">
        <w:rPr>
          <w:rFonts w:cstheme="minorHAnsi"/>
        </w:rPr>
        <w:t>commerce) while providing effective protection for personal information, essential to maintaining trust and confidence in the digital economy. The system aims to better align privacy law and organi</w:t>
      </w:r>
      <w:r w:rsidR="00A16497">
        <w:rPr>
          <w:rFonts w:cstheme="minorHAnsi"/>
        </w:rPr>
        <w:t>s</w:t>
      </w:r>
      <w:r w:rsidRPr="00301763">
        <w:rPr>
          <w:rFonts w:cstheme="minorHAnsi"/>
        </w:rPr>
        <w:t>ational practices within the APEC region, and better facilitate trade.</w:t>
      </w:r>
    </w:p>
    <w:p w14:paraId="4FE9D0E0" w14:textId="4A786756" w:rsidR="00475894" w:rsidRPr="00301763" w:rsidRDefault="00475894" w:rsidP="00475894">
      <w:pPr>
        <w:rPr>
          <w:rFonts w:cstheme="minorHAnsi"/>
        </w:rPr>
      </w:pPr>
      <w:r w:rsidRPr="00301763">
        <w:rPr>
          <w:rFonts w:cstheme="minorHAnsi"/>
        </w:rPr>
        <w:t>Australia</w:t>
      </w:r>
      <w:r w:rsidR="00B5767E">
        <w:rPr>
          <w:rFonts w:cstheme="minorHAnsi"/>
        </w:rPr>
        <w:t xml:space="preserve"> is a participant in the system, but </w:t>
      </w:r>
      <w:r w:rsidRPr="00301763">
        <w:rPr>
          <w:rFonts w:cstheme="minorHAnsi"/>
        </w:rPr>
        <w:t xml:space="preserve">has not yet fully implemented </w:t>
      </w:r>
      <w:r w:rsidR="00B5767E">
        <w:rPr>
          <w:rFonts w:cstheme="minorHAnsi"/>
        </w:rPr>
        <w:t>it domestically</w:t>
      </w:r>
      <w:r w:rsidRPr="00301763">
        <w:rPr>
          <w:rFonts w:cstheme="minorHAnsi"/>
        </w:rPr>
        <w:t xml:space="preserve">.  </w:t>
      </w:r>
    </w:p>
    <w:p w14:paraId="075E4742" w14:textId="73CD7EAA" w:rsidR="006862B9" w:rsidRPr="00AF47A8" w:rsidRDefault="006862B9" w:rsidP="00AF47A8">
      <w:pPr>
        <w:spacing w:before="120" w:after="120" w:line="240" w:lineRule="auto"/>
        <w:jc w:val="both"/>
        <w:rPr>
          <w:rFonts w:cstheme="minorHAnsi"/>
          <w:szCs w:val="24"/>
        </w:rPr>
      </w:pPr>
    </w:p>
    <w:sectPr w:rsidR="006862B9" w:rsidRPr="00AF47A8" w:rsidSect="00C03E66">
      <w:footerReference w:type="default" r:id="rId15"/>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5A56C" w14:textId="77777777" w:rsidR="00A66507" w:rsidRDefault="00A66507" w:rsidP="002B7C31">
      <w:pPr>
        <w:spacing w:after="0" w:line="240" w:lineRule="auto"/>
      </w:pPr>
      <w:r>
        <w:separator/>
      </w:r>
    </w:p>
  </w:endnote>
  <w:endnote w:type="continuationSeparator" w:id="0">
    <w:p w14:paraId="73DE4BD5" w14:textId="77777777" w:rsidR="00A66507" w:rsidRDefault="00A66507" w:rsidP="002B7C31">
      <w:pPr>
        <w:spacing w:after="0" w:line="240" w:lineRule="auto"/>
      </w:pPr>
      <w:r>
        <w:continuationSeparator/>
      </w:r>
    </w:p>
  </w:endnote>
  <w:endnote w:type="continuationNotice" w:id="1">
    <w:p w14:paraId="2F4FFE1F" w14:textId="77777777" w:rsidR="00A66507" w:rsidRDefault="00A665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C17AA" w14:textId="1FBCE2DB" w:rsidR="0093205F" w:rsidRDefault="0093205F" w:rsidP="002B7C31">
    <w:pPr>
      <w:pStyle w:val="Footer"/>
      <w:jc w:val="center"/>
    </w:pPr>
    <w:r>
      <w:fldChar w:fldCharType="begin"/>
    </w:r>
    <w:r>
      <w:instrText xml:space="preserve"> PAGE   \* MERGEFORMAT </w:instrText>
    </w:r>
    <w:r>
      <w:fldChar w:fldCharType="separate"/>
    </w:r>
    <w:r w:rsidR="008A2DB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18BAF" w14:textId="77777777" w:rsidR="00A66507" w:rsidRDefault="00A66507" w:rsidP="002B7C31">
      <w:pPr>
        <w:spacing w:after="0" w:line="240" w:lineRule="auto"/>
      </w:pPr>
      <w:r>
        <w:separator/>
      </w:r>
    </w:p>
  </w:footnote>
  <w:footnote w:type="continuationSeparator" w:id="0">
    <w:p w14:paraId="76CB8412" w14:textId="77777777" w:rsidR="00A66507" w:rsidRDefault="00A66507" w:rsidP="002B7C31">
      <w:pPr>
        <w:spacing w:after="0" w:line="240" w:lineRule="auto"/>
      </w:pPr>
      <w:r>
        <w:continuationSeparator/>
      </w:r>
    </w:p>
  </w:footnote>
  <w:footnote w:type="continuationNotice" w:id="1">
    <w:p w14:paraId="43711C43" w14:textId="77777777" w:rsidR="00A66507" w:rsidRDefault="00A665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759B"/>
    <w:multiLevelType w:val="hybridMultilevel"/>
    <w:tmpl w:val="7520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826E4"/>
    <w:multiLevelType w:val="multilevel"/>
    <w:tmpl w:val="40EA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015A2"/>
    <w:multiLevelType w:val="multilevel"/>
    <w:tmpl w:val="CF5A3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D2792B"/>
    <w:multiLevelType w:val="hybridMultilevel"/>
    <w:tmpl w:val="0B9CC1FE"/>
    <w:lvl w:ilvl="0" w:tplc="A0A087F4">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60BA5"/>
    <w:multiLevelType w:val="multilevel"/>
    <w:tmpl w:val="CF5A3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6D1E7C"/>
    <w:multiLevelType w:val="hybridMultilevel"/>
    <w:tmpl w:val="4FFE49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CC5AF4"/>
    <w:multiLevelType w:val="multilevel"/>
    <w:tmpl w:val="CF5A3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717988"/>
    <w:multiLevelType w:val="multilevel"/>
    <w:tmpl w:val="CF5A3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B26A38"/>
    <w:multiLevelType w:val="hybridMultilevel"/>
    <w:tmpl w:val="82BCCB80"/>
    <w:lvl w:ilvl="0" w:tplc="0C090001">
      <w:start w:val="1"/>
      <w:numFmt w:val="bullet"/>
      <w:lvlText w:val=""/>
      <w:lvlJc w:val="left"/>
      <w:pPr>
        <w:ind w:left="471" w:hanging="360"/>
      </w:pPr>
      <w:rPr>
        <w:rFonts w:ascii="Symbol" w:hAnsi="Symbol" w:hint="default"/>
      </w:rPr>
    </w:lvl>
    <w:lvl w:ilvl="1" w:tplc="0C090003" w:tentative="1">
      <w:start w:val="1"/>
      <w:numFmt w:val="bullet"/>
      <w:lvlText w:val="o"/>
      <w:lvlJc w:val="left"/>
      <w:pPr>
        <w:ind w:left="1191" w:hanging="360"/>
      </w:pPr>
      <w:rPr>
        <w:rFonts w:ascii="Courier New" w:hAnsi="Courier New" w:cs="Courier New" w:hint="default"/>
      </w:rPr>
    </w:lvl>
    <w:lvl w:ilvl="2" w:tplc="0C090005" w:tentative="1">
      <w:start w:val="1"/>
      <w:numFmt w:val="bullet"/>
      <w:lvlText w:val=""/>
      <w:lvlJc w:val="left"/>
      <w:pPr>
        <w:ind w:left="1911" w:hanging="360"/>
      </w:pPr>
      <w:rPr>
        <w:rFonts w:ascii="Wingdings" w:hAnsi="Wingdings" w:hint="default"/>
      </w:rPr>
    </w:lvl>
    <w:lvl w:ilvl="3" w:tplc="0C090001" w:tentative="1">
      <w:start w:val="1"/>
      <w:numFmt w:val="bullet"/>
      <w:lvlText w:val=""/>
      <w:lvlJc w:val="left"/>
      <w:pPr>
        <w:ind w:left="2631" w:hanging="360"/>
      </w:pPr>
      <w:rPr>
        <w:rFonts w:ascii="Symbol" w:hAnsi="Symbol" w:hint="default"/>
      </w:rPr>
    </w:lvl>
    <w:lvl w:ilvl="4" w:tplc="0C090003" w:tentative="1">
      <w:start w:val="1"/>
      <w:numFmt w:val="bullet"/>
      <w:lvlText w:val="o"/>
      <w:lvlJc w:val="left"/>
      <w:pPr>
        <w:ind w:left="3351" w:hanging="360"/>
      </w:pPr>
      <w:rPr>
        <w:rFonts w:ascii="Courier New" w:hAnsi="Courier New" w:cs="Courier New" w:hint="default"/>
      </w:rPr>
    </w:lvl>
    <w:lvl w:ilvl="5" w:tplc="0C090005" w:tentative="1">
      <w:start w:val="1"/>
      <w:numFmt w:val="bullet"/>
      <w:lvlText w:val=""/>
      <w:lvlJc w:val="left"/>
      <w:pPr>
        <w:ind w:left="4071" w:hanging="360"/>
      </w:pPr>
      <w:rPr>
        <w:rFonts w:ascii="Wingdings" w:hAnsi="Wingdings" w:hint="default"/>
      </w:rPr>
    </w:lvl>
    <w:lvl w:ilvl="6" w:tplc="0C090001" w:tentative="1">
      <w:start w:val="1"/>
      <w:numFmt w:val="bullet"/>
      <w:lvlText w:val=""/>
      <w:lvlJc w:val="left"/>
      <w:pPr>
        <w:ind w:left="4791" w:hanging="360"/>
      </w:pPr>
      <w:rPr>
        <w:rFonts w:ascii="Symbol" w:hAnsi="Symbol" w:hint="default"/>
      </w:rPr>
    </w:lvl>
    <w:lvl w:ilvl="7" w:tplc="0C090003" w:tentative="1">
      <w:start w:val="1"/>
      <w:numFmt w:val="bullet"/>
      <w:lvlText w:val="o"/>
      <w:lvlJc w:val="left"/>
      <w:pPr>
        <w:ind w:left="5511" w:hanging="360"/>
      </w:pPr>
      <w:rPr>
        <w:rFonts w:ascii="Courier New" w:hAnsi="Courier New" w:cs="Courier New" w:hint="default"/>
      </w:rPr>
    </w:lvl>
    <w:lvl w:ilvl="8" w:tplc="0C090005" w:tentative="1">
      <w:start w:val="1"/>
      <w:numFmt w:val="bullet"/>
      <w:lvlText w:val=""/>
      <w:lvlJc w:val="left"/>
      <w:pPr>
        <w:ind w:left="6231" w:hanging="360"/>
      </w:pPr>
      <w:rPr>
        <w:rFonts w:ascii="Wingdings" w:hAnsi="Wingdings" w:hint="default"/>
      </w:rPr>
    </w:lvl>
  </w:abstractNum>
  <w:abstractNum w:abstractNumId="9" w15:restartNumberingAfterBreak="0">
    <w:nsid w:val="2C684BAB"/>
    <w:multiLevelType w:val="multilevel"/>
    <w:tmpl w:val="2C6C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513D31"/>
    <w:multiLevelType w:val="hybridMultilevel"/>
    <w:tmpl w:val="CF74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A1C36"/>
    <w:multiLevelType w:val="multilevel"/>
    <w:tmpl w:val="08142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080B03"/>
    <w:multiLevelType w:val="hybridMultilevel"/>
    <w:tmpl w:val="3AF2D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2021A1"/>
    <w:multiLevelType w:val="multilevel"/>
    <w:tmpl w:val="CF5A3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1C2C65"/>
    <w:multiLevelType w:val="hybridMultilevel"/>
    <w:tmpl w:val="D43A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DC35E4"/>
    <w:multiLevelType w:val="multilevel"/>
    <w:tmpl w:val="C8D8B33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624E53"/>
    <w:multiLevelType w:val="hybridMultilevel"/>
    <w:tmpl w:val="20305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1"/>
  </w:num>
  <w:num w:numId="4">
    <w:abstractNumId w:val="0"/>
  </w:num>
  <w:num w:numId="5">
    <w:abstractNumId w:val="15"/>
  </w:num>
  <w:num w:numId="6">
    <w:abstractNumId w:val="9"/>
  </w:num>
  <w:num w:numId="7">
    <w:abstractNumId w:val="10"/>
  </w:num>
  <w:num w:numId="8">
    <w:abstractNumId w:val="3"/>
  </w:num>
  <w:num w:numId="9">
    <w:abstractNumId w:val="13"/>
  </w:num>
  <w:num w:numId="10">
    <w:abstractNumId w:val="6"/>
  </w:num>
  <w:num w:numId="11">
    <w:abstractNumId w:val="7"/>
  </w:num>
  <w:num w:numId="12">
    <w:abstractNumId w:val="4"/>
  </w:num>
  <w:num w:numId="13">
    <w:abstractNumId w:val="2"/>
  </w:num>
  <w:num w:numId="14">
    <w:abstractNumId w:val="12"/>
  </w:num>
  <w:num w:numId="15">
    <w:abstractNumId w:val="8"/>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98"/>
    <w:rsid w:val="00006509"/>
    <w:rsid w:val="00012AAB"/>
    <w:rsid w:val="000327C6"/>
    <w:rsid w:val="00065F5D"/>
    <w:rsid w:val="00074F43"/>
    <w:rsid w:val="000E3979"/>
    <w:rsid w:val="001138E1"/>
    <w:rsid w:val="00121689"/>
    <w:rsid w:val="001318B2"/>
    <w:rsid w:val="001D3CDA"/>
    <w:rsid w:val="001E0A87"/>
    <w:rsid w:val="001E2658"/>
    <w:rsid w:val="001E2CD2"/>
    <w:rsid w:val="001E3FE0"/>
    <w:rsid w:val="001F18CE"/>
    <w:rsid w:val="001F7AD1"/>
    <w:rsid w:val="0022057A"/>
    <w:rsid w:val="00244CEB"/>
    <w:rsid w:val="00266F40"/>
    <w:rsid w:val="00276AFC"/>
    <w:rsid w:val="002805A8"/>
    <w:rsid w:val="0028213A"/>
    <w:rsid w:val="002B1DC8"/>
    <w:rsid w:val="002B7C31"/>
    <w:rsid w:val="002C0ABA"/>
    <w:rsid w:val="002C1B06"/>
    <w:rsid w:val="002F3C6C"/>
    <w:rsid w:val="00301763"/>
    <w:rsid w:val="00330911"/>
    <w:rsid w:val="00334355"/>
    <w:rsid w:val="00335A06"/>
    <w:rsid w:val="00344CD5"/>
    <w:rsid w:val="0034594B"/>
    <w:rsid w:val="003535F0"/>
    <w:rsid w:val="00367458"/>
    <w:rsid w:val="00393C79"/>
    <w:rsid w:val="003978A7"/>
    <w:rsid w:val="003B6D5D"/>
    <w:rsid w:val="003E048E"/>
    <w:rsid w:val="003F3E07"/>
    <w:rsid w:val="00404F0A"/>
    <w:rsid w:val="004159B0"/>
    <w:rsid w:val="00432C8A"/>
    <w:rsid w:val="00436C15"/>
    <w:rsid w:val="004520D8"/>
    <w:rsid w:val="004661CE"/>
    <w:rsid w:val="00475894"/>
    <w:rsid w:val="004B0F48"/>
    <w:rsid w:val="004B36EA"/>
    <w:rsid w:val="004E2DCF"/>
    <w:rsid w:val="00503E57"/>
    <w:rsid w:val="00506209"/>
    <w:rsid w:val="00506430"/>
    <w:rsid w:val="0050665C"/>
    <w:rsid w:val="00507136"/>
    <w:rsid w:val="00510188"/>
    <w:rsid w:val="00514F6E"/>
    <w:rsid w:val="00533095"/>
    <w:rsid w:val="0054007A"/>
    <w:rsid w:val="00552BC5"/>
    <w:rsid w:val="00554154"/>
    <w:rsid w:val="00580D42"/>
    <w:rsid w:val="005961AA"/>
    <w:rsid w:val="005B0A43"/>
    <w:rsid w:val="005B20D2"/>
    <w:rsid w:val="005C0730"/>
    <w:rsid w:val="005C6BB5"/>
    <w:rsid w:val="005D024B"/>
    <w:rsid w:val="005D4724"/>
    <w:rsid w:val="005E4FD5"/>
    <w:rsid w:val="00603CCC"/>
    <w:rsid w:val="00650692"/>
    <w:rsid w:val="00654EFF"/>
    <w:rsid w:val="00662386"/>
    <w:rsid w:val="00663312"/>
    <w:rsid w:val="00685A23"/>
    <w:rsid w:val="006862B9"/>
    <w:rsid w:val="00687EE0"/>
    <w:rsid w:val="00694BDE"/>
    <w:rsid w:val="006A5BC7"/>
    <w:rsid w:val="006B13C8"/>
    <w:rsid w:val="006D692F"/>
    <w:rsid w:val="006D7038"/>
    <w:rsid w:val="00712AB5"/>
    <w:rsid w:val="007367CF"/>
    <w:rsid w:val="0074457A"/>
    <w:rsid w:val="0078208E"/>
    <w:rsid w:val="007A3B4A"/>
    <w:rsid w:val="007D57DC"/>
    <w:rsid w:val="007F1E99"/>
    <w:rsid w:val="00804607"/>
    <w:rsid w:val="00821BEB"/>
    <w:rsid w:val="008406D3"/>
    <w:rsid w:val="008549DB"/>
    <w:rsid w:val="00877F47"/>
    <w:rsid w:val="0089642B"/>
    <w:rsid w:val="00896E77"/>
    <w:rsid w:val="008A09DD"/>
    <w:rsid w:val="008A2DBA"/>
    <w:rsid w:val="008B0DA2"/>
    <w:rsid w:val="008C18AB"/>
    <w:rsid w:val="008F485D"/>
    <w:rsid w:val="00910F17"/>
    <w:rsid w:val="00911FD6"/>
    <w:rsid w:val="0093205F"/>
    <w:rsid w:val="00934522"/>
    <w:rsid w:val="00946583"/>
    <w:rsid w:val="009639AA"/>
    <w:rsid w:val="00974357"/>
    <w:rsid w:val="009807AF"/>
    <w:rsid w:val="00981B84"/>
    <w:rsid w:val="00985818"/>
    <w:rsid w:val="00985D69"/>
    <w:rsid w:val="009866A9"/>
    <w:rsid w:val="00987CD6"/>
    <w:rsid w:val="009A37A1"/>
    <w:rsid w:val="009B18AC"/>
    <w:rsid w:val="009B5F55"/>
    <w:rsid w:val="009D5DBC"/>
    <w:rsid w:val="009F5920"/>
    <w:rsid w:val="009F67C3"/>
    <w:rsid w:val="00A16497"/>
    <w:rsid w:val="00A243E2"/>
    <w:rsid w:val="00A259F4"/>
    <w:rsid w:val="00A32B00"/>
    <w:rsid w:val="00A42E79"/>
    <w:rsid w:val="00A5673D"/>
    <w:rsid w:val="00A66507"/>
    <w:rsid w:val="00A75903"/>
    <w:rsid w:val="00A841FF"/>
    <w:rsid w:val="00A97AE8"/>
    <w:rsid w:val="00AB62DD"/>
    <w:rsid w:val="00AC2536"/>
    <w:rsid w:val="00AE75CC"/>
    <w:rsid w:val="00AF47A8"/>
    <w:rsid w:val="00B2713A"/>
    <w:rsid w:val="00B43484"/>
    <w:rsid w:val="00B47D51"/>
    <w:rsid w:val="00B5767E"/>
    <w:rsid w:val="00B606F6"/>
    <w:rsid w:val="00B875B1"/>
    <w:rsid w:val="00B965D5"/>
    <w:rsid w:val="00BA6D7C"/>
    <w:rsid w:val="00BB63C5"/>
    <w:rsid w:val="00BB72A1"/>
    <w:rsid w:val="00BC6334"/>
    <w:rsid w:val="00BD22A3"/>
    <w:rsid w:val="00BE5DCC"/>
    <w:rsid w:val="00BE72C4"/>
    <w:rsid w:val="00BF4A95"/>
    <w:rsid w:val="00BF6675"/>
    <w:rsid w:val="00C0110A"/>
    <w:rsid w:val="00C03E66"/>
    <w:rsid w:val="00C31C81"/>
    <w:rsid w:val="00C4159A"/>
    <w:rsid w:val="00C50FA0"/>
    <w:rsid w:val="00C63065"/>
    <w:rsid w:val="00C844F4"/>
    <w:rsid w:val="00C87A92"/>
    <w:rsid w:val="00CC0A54"/>
    <w:rsid w:val="00CE06AF"/>
    <w:rsid w:val="00CF09CF"/>
    <w:rsid w:val="00CF6F2A"/>
    <w:rsid w:val="00D25F8A"/>
    <w:rsid w:val="00D73227"/>
    <w:rsid w:val="00D75D05"/>
    <w:rsid w:val="00D8166F"/>
    <w:rsid w:val="00DC0AD4"/>
    <w:rsid w:val="00DE3F4E"/>
    <w:rsid w:val="00E33572"/>
    <w:rsid w:val="00E41CEB"/>
    <w:rsid w:val="00E45B21"/>
    <w:rsid w:val="00E51940"/>
    <w:rsid w:val="00E51C79"/>
    <w:rsid w:val="00E573A1"/>
    <w:rsid w:val="00E718E6"/>
    <w:rsid w:val="00E86E4D"/>
    <w:rsid w:val="00EA2562"/>
    <w:rsid w:val="00EA4B70"/>
    <w:rsid w:val="00EC195B"/>
    <w:rsid w:val="00ED2ECA"/>
    <w:rsid w:val="00ED3871"/>
    <w:rsid w:val="00ED7FBB"/>
    <w:rsid w:val="00EF09F5"/>
    <w:rsid w:val="00F36098"/>
    <w:rsid w:val="00F55E4B"/>
    <w:rsid w:val="00F70375"/>
    <w:rsid w:val="00F72371"/>
    <w:rsid w:val="00F910C3"/>
    <w:rsid w:val="00FB3E01"/>
    <w:rsid w:val="00FF15B0"/>
    <w:rsid w:val="00FF4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C17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9DB"/>
  </w:style>
  <w:style w:type="paragraph" w:styleId="Heading1">
    <w:name w:val="heading 1"/>
    <w:basedOn w:val="Normal"/>
    <w:next w:val="Normal"/>
    <w:link w:val="Heading1Char"/>
    <w:uiPriority w:val="9"/>
    <w:qFormat/>
    <w:rsid w:val="00C03E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03E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03E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7AF"/>
    <w:rPr>
      <w:color w:val="0563C1" w:themeColor="hyperlink"/>
      <w:u w:val="single"/>
    </w:rPr>
  </w:style>
  <w:style w:type="character" w:customStyle="1" w:styleId="Heading1Char">
    <w:name w:val="Heading 1 Char"/>
    <w:basedOn w:val="DefaultParagraphFont"/>
    <w:link w:val="Heading1"/>
    <w:uiPriority w:val="9"/>
    <w:rsid w:val="00C03E6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03E6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03E6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B7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C31"/>
  </w:style>
  <w:style w:type="paragraph" w:styleId="Footer">
    <w:name w:val="footer"/>
    <w:basedOn w:val="Normal"/>
    <w:link w:val="FooterChar"/>
    <w:uiPriority w:val="99"/>
    <w:unhideWhenUsed/>
    <w:rsid w:val="002B7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C31"/>
  </w:style>
  <w:style w:type="paragraph" w:styleId="ListParagraph">
    <w:name w:val="List Paragraph"/>
    <w:aliases w:val="1 heading,NFP GP Bulleted List,FooterText,numbered,Paragraphe de liste1,Bulletr List Paragraph,列出段落,列出段落1,List Paragraph21,Listeafsnit1,Parágrafo da Lista1,Párrafo de lista1,リスト段落1,Bullet point,List Paragraph - bullets,Bullets,L"/>
    <w:basedOn w:val="Normal"/>
    <w:link w:val="ListParagraphChar"/>
    <w:uiPriority w:val="34"/>
    <w:qFormat/>
    <w:rsid w:val="002B7C31"/>
    <w:pPr>
      <w:ind w:left="720"/>
      <w:contextualSpacing/>
    </w:pPr>
  </w:style>
  <w:style w:type="character" w:styleId="FollowedHyperlink">
    <w:name w:val="FollowedHyperlink"/>
    <w:basedOn w:val="DefaultParagraphFont"/>
    <w:uiPriority w:val="99"/>
    <w:semiHidden/>
    <w:unhideWhenUsed/>
    <w:rsid w:val="008549DB"/>
    <w:rPr>
      <w:color w:val="954F72" w:themeColor="followedHyperlink"/>
      <w:u w:val="single"/>
    </w:rPr>
  </w:style>
  <w:style w:type="character" w:customStyle="1" w:styleId="ms-rtefontsize-2">
    <w:name w:val="ms-rtefontsize-2"/>
    <w:basedOn w:val="DefaultParagraphFont"/>
    <w:rsid w:val="002805A8"/>
  </w:style>
  <w:style w:type="character" w:styleId="Strong">
    <w:name w:val="Strong"/>
    <w:basedOn w:val="DefaultParagraphFont"/>
    <w:uiPriority w:val="22"/>
    <w:qFormat/>
    <w:rsid w:val="002805A8"/>
    <w:rPr>
      <w:b/>
      <w:bCs/>
    </w:rPr>
  </w:style>
  <w:style w:type="table" w:styleId="TableGrid">
    <w:name w:val="Table Grid"/>
    <w:basedOn w:val="TableNormal"/>
    <w:uiPriority w:val="39"/>
    <w:rsid w:val="00D8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F5920"/>
    <w:pPr>
      <w:pBdr>
        <w:top w:val="nil"/>
        <w:left w:val="nil"/>
        <w:bottom w:val="nil"/>
        <w:right w:val="nil"/>
        <w:between w:val="nil"/>
        <w:bar w:val="nil"/>
      </w:pBdr>
      <w:tabs>
        <w:tab w:val="left" w:pos="567"/>
        <w:tab w:val="left" w:pos="1134"/>
        <w:tab w:val="left" w:pos="1701"/>
        <w:tab w:val="left" w:pos="2268"/>
        <w:tab w:val="left" w:pos="2835"/>
      </w:tabs>
      <w:spacing w:before="120" w:after="0" w:line="240" w:lineRule="auto"/>
    </w:pPr>
    <w:rPr>
      <w:rFonts w:ascii="Calibri" w:eastAsia="Calibri" w:hAnsi="Calibri" w:cs="Calibri"/>
      <w:color w:val="000000"/>
      <w:sz w:val="24"/>
      <w:szCs w:val="24"/>
      <w:u w:color="000000"/>
      <w:bdr w:val="nil"/>
      <w:lang w:eastAsia="en-US"/>
    </w:rPr>
  </w:style>
  <w:style w:type="paragraph" w:styleId="BalloonText">
    <w:name w:val="Balloon Text"/>
    <w:basedOn w:val="Normal"/>
    <w:link w:val="BalloonTextChar"/>
    <w:uiPriority w:val="99"/>
    <w:semiHidden/>
    <w:unhideWhenUsed/>
    <w:rsid w:val="00804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607"/>
    <w:rPr>
      <w:rFonts w:ascii="Segoe UI" w:hAnsi="Segoe UI" w:cs="Segoe UI"/>
      <w:sz w:val="18"/>
      <w:szCs w:val="18"/>
    </w:rPr>
  </w:style>
  <w:style w:type="character" w:customStyle="1" w:styleId="ListParagraphChar">
    <w:name w:val="List Paragraph Char"/>
    <w:aliases w:val="1 heading Char,NFP GP Bulleted List Char,FooterText Char,numbered Char,Paragraphe de liste1 Char,Bulletr List Paragraph Char,列出段落 Char,列出段落1 Char,List Paragraph21 Char,Listeafsnit1 Char,Parágrafo da Lista1 Char,Párrafo de lista1 Char"/>
    <w:basedOn w:val="DefaultParagraphFont"/>
    <w:link w:val="ListParagraph"/>
    <w:uiPriority w:val="34"/>
    <w:qFormat/>
    <w:locked/>
    <w:rsid w:val="00D73227"/>
  </w:style>
  <w:style w:type="character" w:styleId="CommentReference">
    <w:name w:val="annotation reference"/>
    <w:basedOn w:val="DefaultParagraphFont"/>
    <w:uiPriority w:val="99"/>
    <w:semiHidden/>
    <w:unhideWhenUsed/>
    <w:rsid w:val="00475894"/>
    <w:rPr>
      <w:sz w:val="16"/>
      <w:szCs w:val="16"/>
    </w:rPr>
  </w:style>
  <w:style w:type="paragraph" w:styleId="CommentText">
    <w:name w:val="annotation text"/>
    <w:basedOn w:val="Normal"/>
    <w:link w:val="CommentTextChar"/>
    <w:uiPriority w:val="99"/>
    <w:semiHidden/>
    <w:unhideWhenUsed/>
    <w:rsid w:val="00475894"/>
    <w:pPr>
      <w:spacing w:line="240" w:lineRule="auto"/>
    </w:pPr>
    <w:rPr>
      <w:sz w:val="20"/>
      <w:szCs w:val="20"/>
    </w:rPr>
  </w:style>
  <w:style w:type="character" w:customStyle="1" w:styleId="CommentTextChar">
    <w:name w:val="Comment Text Char"/>
    <w:basedOn w:val="DefaultParagraphFont"/>
    <w:link w:val="CommentText"/>
    <w:uiPriority w:val="99"/>
    <w:semiHidden/>
    <w:rsid w:val="00475894"/>
    <w:rPr>
      <w:sz w:val="20"/>
      <w:szCs w:val="20"/>
    </w:rPr>
  </w:style>
  <w:style w:type="paragraph" w:styleId="CommentSubject">
    <w:name w:val="annotation subject"/>
    <w:basedOn w:val="CommentText"/>
    <w:next w:val="CommentText"/>
    <w:link w:val="CommentSubjectChar"/>
    <w:uiPriority w:val="99"/>
    <w:semiHidden/>
    <w:unhideWhenUsed/>
    <w:rsid w:val="00475894"/>
    <w:rPr>
      <w:b/>
      <w:bCs/>
    </w:rPr>
  </w:style>
  <w:style w:type="character" w:customStyle="1" w:styleId="CommentSubjectChar">
    <w:name w:val="Comment Subject Char"/>
    <w:basedOn w:val="CommentTextChar"/>
    <w:link w:val="CommentSubject"/>
    <w:uiPriority w:val="99"/>
    <w:semiHidden/>
    <w:rsid w:val="00475894"/>
    <w:rPr>
      <w:b/>
      <w:bCs/>
      <w:sz w:val="20"/>
      <w:szCs w:val="20"/>
    </w:rPr>
  </w:style>
  <w:style w:type="paragraph" w:styleId="BodyText">
    <w:name w:val="Body Text"/>
    <w:basedOn w:val="Normal"/>
    <w:link w:val="BodyTextChar"/>
    <w:uiPriority w:val="99"/>
    <w:unhideWhenUsed/>
    <w:rsid w:val="001E3FE0"/>
    <w:pPr>
      <w:suppressAutoHyphens/>
      <w:spacing w:before="120" w:after="60" w:line="260" w:lineRule="atLeast"/>
    </w:pPr>
    <w:rPr>
      <w:rFonts w:eastAsiaTheme="minorHAnsi"/>
      <w:color w:val="44546A" w:themeColor="text2"/>
      <w:lang w:val="en-GB" w:eastAsia="en-US"/>
    </w:rPr>
  </w:style>
  <w:style w:type="character" w:customStyle="1" w:styleId="BodyTextChar">
    <w:name w:val="Body Text Char"/>
    <w:basedOn w:val="DefaultParagraphFont"/>
    <w:link w:val="BodyText"/>
    <w:uiPriority w:val="99"/>
    <w:rsid w:val="001E3FE0"/>
    <w:rPr>
      <w:rFonts w:eastAsiaTheme="minorHAnsi"/>
      <w:color w:val="44546A" w:themeColor="text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5673">
      <w:bodyDiv w:val="1"/>
      <w:marLeft w:val="0"/>
      <w:marRight w:val="0"/>
      <w:marTop w:val="0"/>
      <w:marBottom w:val="0"/>
      <w:divBdr>
        <w:top w:val="none" w:sz="0" w:space="0" w:color="auto"/>
        <w:left w:val="none" w:sz="0" w:space="0" w:color="auto"/>
        <w:bottom w:val="none" w:sz="0" w:space="0" w:color="auto"/>
        <w:right w:val="none" w:sz="0" w:space="0" w:color="auto"/>
      </w:divBdr>
    </w:div>
    <w:div w:id="483469237">
      <w:bodyDiv w:val="1"/>
      <w:marLeft w:val="0"/>
      <w:marRight w:val="0"/>
      <w:marTop w:val="0"/>
      <w:marBottom w:val="0"/>
      <w:divBdr>
        <w:top w:val="none" w:sz="0" w:space="0" w:color="auto"/>
        <w:left w:val="none" w:sz="0" w:space="0" w:color="auto"/>
        <w:bottom w:val="none" w:sz="0" w:space="0" w:color="auto"/>
        <w:right w:val="none" w:sz="0" w:space="0" w:color="auto"/>
      </w:divBdr>
    </w:div>
    <w:div w:id="1468158129">
      <w:bodyDiv w:val="1"/>
      <w:marLeft w:val="0"/>
      <w:marRight w:val="0"/>
      <w:marTop w:val="0"/>
      <w:marBottom w:val="0"/>
      <w:divBdr>
        <w:top w:val="none" w:sz="0" w:space="0" w:color="auto"/>
        <w:left w:val="none" w:sz="0" w:space="0" w:color="auto"/>
        <w:bottom w:val="none" w:sz="0" w:space="0" w:color="auto"/>
        <w:right w:val="none" w:sz="0" w:space="0" w:color="auto"/>
      </w:divBdr>
      <w:divsChild>
        <w:div w:id="1185704419">
          <w:marLeft w:val="0"/>
          <w:marRight w:val="0"/>
          <w:marTop w:val="0"/>
          <w:marBottom w:val="0"/>
          <w:divBdr>
            <w:top w:val="none" w:sz="0" w:space="0" w:color="auto"/>
            <w:left w:val="none" w:sz="0" w:space="0" w:color="auto"/>
            <w:bottom w:val="none" w:sz="0" w:space="0" w:color="auto"/>
            <w:right w:val="none" w:sz="0" w:space="0" w:color="auto"/>
          </w:divBdr>
          <w:divsChild>
            <w:div w:id="1462114261">
              <w:marLeft w:val="0"/>
              <w:marRight w:val="0"/>
              <w:marTop w:val="0"/>
              <w:marBottom w:val="0"/>
              <w:divBdr>
                <w:top w:val="none" w:sz="0" w:space="0" w:color="auto"/>
                <w:left w:val="none" w:sz="0" w:space="0" w:color="auto"/>
                <w:bottom w:val="none" w:sz="0" w:space="0" w:color="auto"/>
                <w:right w:val="none" w:sz="0" w:space="0" w:color="auto"/>
              </w:divBdr>
              <w:divsChild>
                <w:div w:id="1373503740">
                  <w:marLeft w:val="0"/>
                  <w:marRight w:val="0"/>
                  <w:marTop w:val="0"/>
                  <w:marBottom w:val="0"/>
                  <w:divBdr>
                    <w:top w:val="none" w:sz="0" w:space="0" w:color="auto"/>
                    <w:left w:val="none" w:sz="0" w:space="0" w:color="auto"/>
                    <w:bottom w:val="none" w:sz="0" w:space="0" w:color="auto"/>
                    <w:right w:val="none" w:sz="0" w:space="0" w:color="auto"/>
                  </w:divBdr>
                  <w:divsChild>
                    <w:div w:id="799490989">
                      <w:marLeft w:val="0"/>
                      <w:marRight w:val="0"/>
                      <w:marTop w:val="0"/>
                      <w:marBottom w:val="0"/>
                      <w:divBdr>
                        <w:top w:val="none" w:sz="0" w:space="0" w:color="auto"/>
                        <w:left w:val="none" w:sz="0" w:space="0" w:color="auto"/>
                        <w:bottom w:val="none" w:sz="0" w:space="0" w:color="auto"/>
                        <w:right w:val="none" w:sz="0" w:space="0" w:color="auto"/>
                      </w:divBdr>
                      <w:divsChild>
                        <w:div w:id="184834696">
                          <w:marLeft w:val="0"/>
                          <w:marRight w:val="0"/>
                          <w:marTop w:val="0"/>
                          <w:marBottom w:val="0"/>
                          <w:divBdr>
                            <w:top w:val="none" w:sz="0" w:space="0" w:color="auto"/>
                            <w:left w:val="none" w:sz="0" w:space="0" w:color="auto"/>
                            <w:bottom w:val="none" w:sz="0" w:space="0" w:color="auto"/>
                            <w:right w:val="none" w:sz="0" w:space="0" w:color="auto"/>
                          </w:divBdr>
                          <w:divsChild>
                            <w:div w:id="798376915">
                              <w:marLeft w:val="0"/>
                              <w:marRight w:val="0"/>
                              <w:marTop w:val="0"/>
                              <w:marBottom w:val="0"/>
                              <w:divBdr>
                                <w:top w:val="none" w:sz="0" w:space="0" w:color="auto"/>
                                <w:left w:val="none" w:sz="0" w:space="0" w:color="auto"/>
                                <w:bottom w:val="none" w:sz="0" w:space="0" w:color="auto"/>
                                <w:right w:val="none" w:sz="0" w:space="0" w:color="auto"/>
                              </w:divBdr>
                              <w:divsChild>
                                <w:div w:id="1661303120">
                                  <w:marLeft w:val="0"/>
                                  <w:marRight w:val="0"/>
                                  <w:marTop w:val="0"/>
                                  <w:marBottom w:val="0"/>
                                  <w:divBdr>
                                    <w:top w:val="none" w:sz="0" w:space="0" w:color="auto"/>
                                    <w:left w:val="none" w:sz="0" w:space="0" w:color="auto"/>
                                    <w:bottom w:val="none" w:sz="0" w:space="0" w:color="auto"/>
                                    <w:right w:val="none" w:sz="0" w:space="0" w:color="auto"/>
                                  </w:divBdr>
                                  <w:divsChild>
                                    <w:div w:id="686098598">
                                      <w:marLeft w:val="0"/>
                                      <w:marRight w:val="0"/>
                                      <w:marTop w:val="0"/>
                                      <w:marBottom w:val="0"/>
                                      <w:divBdr>
                                        <w:top w:val="none" w:sz="0" w:space="0" w:color="auto"/>
                                        <w:left w:val="none" w:sz="0" w:space="0" w:color="auto"/>
                                        <w:bottom w:val="none" w:sz="0" w:space="0" w:color="auto"/>
                                        <w:right w:val="none" w:sz="0" w:space="0" w:color="auto"/>
                                      </w:divBdr>
                                      <w:divsChild>
                                        <w:div w:id="561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23824">
      <w:bodyDiv w:val="1"/>
      <w:marLeft w:val="0"/>
      <w:marRight w:val="0"/>
      <w:marTop w:val="0"/>
      <w:marBottom w:val="0"/>
      <w:divBdr>
        <w:top w:val="none" w:sz="0" w:space="0" w:color="auto"/>
        <w:left w:val="none" w:sz="0" w:space="0" w:color="auto"/>
        <w:bottom w:val="none" w:sz="0" w:space="0" w:color="auto"/>
        <w:right w:val="none" w:sz="0" w:space="0" w:color="auto"/>
      </w:divBdr>
    </w:div>
    <w:div w:id="1767310543">
      <w:bodyDiv w:val="1"/>
      <w:marLeft w:val="0"/>
      <w:marRight w:val="0"/>
      <w:marTop w:val="0"/>
      <w:marBottom w:val="0"/>
      <w:divBdr>
        <w:top w:val="none" w:sz="0" w:space="0" w:color="auto"/>
        <w:left w:val="none" w:sz="0" w:space="0" w:color="auto"/>
        <w:bottom w:val="none" w:sz="0" w:space="0" w:color="auto"/>
        <w:right w:val="none" w:sz="0" w:space="0" w:color="auto"/>
      </w:divBdr>
      <w:divsChild>
        <w:div w:id="694771673">
          <w:marLeft w:val="0"/>
          <w:marRight w:val="0"/>
          <w:marTop w:val="0"/>
          <w:marBottom w:val="0"/>
          <w:divBdr>
            <w:top w:val="none" w:sz="0" w:space="0" w:color="auto"/>
            <w:left w:val="none" w:sz="0" w:space="0" w:color="auto"/>
            <w:bottom w:val="none" w:sz="0" w:space="0" w:color="auto"/>
            <w:right w:val="none" w:sz="0" w:space="0" w:color="auto"/>
          </w:divBdr>
          <w:divsChild>
            <w:div w:id="841774826">
              <w:marLeft w:val="0"/>
              <w:marRight w:val="0"/>
              <w:marTop w:val="0"/>
              <w:marBottom w:val="0"/>
              <w:divBdr>
                <w:top w:val="none" w:sz="0" w:space="0" w:color="auto"/>
                <w:left w:val="none" w:sz="0" w:space="0" w:color="auto"/>
                <w:bottom w:val="none" w:sz="0" w:space="0" w:color="auto"/>
                <w:right w:val="none" w:sz="0" w:space="0" w:color="auto"/>
              </w:divBdr>
              <w:divsChild>
                <w:div w:id="661855405">
                  <w:marLeft w:val="0"/>
                  <w:marRight w:val="0"/>
                  <w:marTop w:val="0"/>
                  <w:marBottom w:val="0"/>
                  <w:divBdr>
                    <w:top w:val="none" w:sz="0" w:space="0" w:color="auto"/>
                    <w:left w:val="none" w:sz="0" w:space="0" w:color="auto"/>
                    <w:bottom w:val="none" w:sz="0" w:space="0" w:color="auto"/>
                    <w:right w:val="none" w:sz="0" w:space="0" w:color="auto"/>
                  </w:divBdr>
                </w:div>
              </w:divsChild>
            </w:div>
            <w:div w:id="263004150">
              <w:marLeft w:val="0"/>
              <w:marRight w:val="0"/>
              <w:marTop w:val="0"/>
              <w:marBottom w:val="0"/>
              <w:divBdr>
                <w:top w:val="none" w:sz="0" w:space="0" w:color="auto"/>
                <w:left w:val="none" w:sz="0" w:space="0" w:color="auto"/>
                <w:bottom w:val="none" w:sz="0" w:space="0" w:color="auto"/>
                <w:right w:val="none" w:sz="0" w:space="0" w:color="auto"/>
              </w:divBdr>
              <w:divsChild>
                <w:div w:id="6278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18424">
          <w:marLeft w:val="0"/>
          <w:marRight w:val="0"/>
          <w:marTop w:val="0"/>
          <w:marBottom w:val="0"/>
          <w:divBdr>
            <w:top w:val="none" w:sz="0" w:space="0" w:color="auto"/>
            <w:left w:val="none" w:sz="0" w:space="0" w:color="auto"/>
            <w:bottom w:val="none" w:sz="0" w:space="0" w:color="auto"/>
            <w:right w:val="none" w:sz="0" w:space="0" w:color="auto"/>
          </w:divBdr>
          <w:divsChild>
            <w:div w:id="1255243319">
              <w:marLeft w:val="0"/>
              <w:marRight w:val="0"/>
              <w:marTop w:val="0"/>
              <w:marBottom w:val="0"/>
              <w:divBdr>
                <w:top w:val="none" w:sz="0" w:space="0" w:color="auto"/>
                <w:left w:val="none" w:sz="0" w:space="0" w:color="auto"/>
                <w:bottom w:val="none" w:sz="0" w:space="0" w:color="auto"/>
                <w:right w:val="none" w:sz="0" w:space="0" w:color="auto"/>
              </w:divBdr>
              <w:divsChild>
                <w:div w:id="728262067">
                  <w:marLeft w:val="0"/>
                  <w:marRight w:val="0"/>
                  <w:marTop w:val="0"/>
                  <w:marBottom w:val="0"/>
                  <w:divBdr>
                    <w:top w:val="none" w:sz="0" w:space="0" w:color="auto"/>
                    <w:left w:val="none" w:sz="0" w:space="0" w:color="auto"/>
                    <w:bottom w:val="none" w:sz="0" w:space="0" w:color="auto"/>
                    <w:right w:val="none" w:sz="0" w:space="0" w:color="auto"/>
                  </w:divBdr>
                </w:div>
                <w:div w:id="1599175977">
                  <w:marLeft w:val="0"/>
                  <w:marRight w:val="0"/>
                  <w:marTop w:val="0"/>
                  <w:marBottom w:val="0"/>
                  <w:divBdr>
                    <w:top w:val="none" w:sz="0" w:space="0" w:color="auto"/>
                    <w:left w:val="none" w:sz="0" w:space="0" w:color="auto"/>
                    <w:bottom w:val="none" w:sz="0" w:space="0" w:color="auto"/>
                    <w:right w:val="none" w:sz="0" w:space="0" w:color="auto"/>
                  </w:divBdr>
                  <w:divsChild>
                    <w:div w:id="1942376226">
                      <w:marLeft w:val="0"/>
                      <w:marRight w:val="0"/>
                      <w:marTop w:val="0"/>
                      <w:marBottom w:val="0"/>
                      <w:divBdr>
                        <w:top w:val="none" w:sz="0" w:space="0" w:color="auto"/>
                        <w:left w:val="none" w:sz="0" w:space="0" w:color="auto"/>
                        <w:bottom w:val="none" w:sz="0" w:space="0" w:color="auto"/>
                        <w:right w:val="none" w:sz="0" w:space="0" w:color="auto"/>
                      </w:divBdr>
                      <w:divsChild>
                        <w:div w:id="1768303685">
                          <w:marLeft w:val="0"/>
                          <w:marRight w:val="0"/>
                          <w:marTop w:val="0"/>
                          <w:marBottom w:val="0"/>
                          <w:divBdr>
                            <w:top w:val="none" w:sz="0" w:space="0" w:color="auto"/>
                            <w:left w:val="none" w:sz="0" w:space="0" w:color="auto"/>
                            <w:bottom w:val="none" w:sz="0" w:space="0" w:color="auto"/>
                            <w:right w:val="none" w:sz="0" w:space="0" w:color="auto"/>
                          </w:divBdr>
                          <w:divsChild>
                            <w:div w:id="92826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7601">
          <w:marLeft w:val="0"/>
          <w:marRight w:val="0"/>
          <w:marTop w:val="0"/>
          <w:marBottom w:val="0"/>
          <w:divBdr>
            <w:top w:val="none" w:sz="0" w:space="0" w:color="auto"/>
            <w:left w:val="none" w:sz="0" w:space="0" w:color="auto"/>
            <w:bottom w:val="none" w:sz="0" w:space="0" w:color="auto"/>
            <w:right w:val="none" w:sz="0" w:space="0" w:color="auto"/>
          </w:divBdr>
          <w:divsChild>
            <w:div w:id="1802766300">
              <w:marLeft w:val="0"/>
              <w:marRight w:val="0"/>
              <w:marTop w:val="0"/>
              <w:marBottom w:val="0"/>
              <w:divBdr>
                <w:top w:val="none" w:sz="0" w:space="0" w:color="auto"/>
                <w:left w:val="none" w:sz="0" w:space="0" w:color="auto"/>
                <w:bottom w:val="none" w:sz="0" w:space="0" w:color="auto"/>
                <w:right w:val="none" w:sz="0" w:space="0" w:color="auto"/>
              </w:divBdr>
              <w:divsChild>
                <w:div w:id="115028618">
                  <w:marLeft w:val="0"/>
                  <w:marRight w:val="0"/>
                  <w:marTop w:val="0"/>
                  <w:marBottom w:val="0"/>
                  <w:divBdr>
                    <w:top w:val="none" w:sz="0" w:space="0" w:color="auto"/>
                    <w:left w:val="none" w:sz="0" w:space="0" w:color="auto"/>
                    <w:bottom w:val="none" w:sz="0" w:space="0" w:color="auto"/>
                    <w:right w:val="none" w:sz="0" w:space="0" w:color="auto"/>
                  </w:divBdr>
                  <w:divsChild>
                    <w:div w:id="4741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fat.gov.au/international-relations/themes/cyber-affairs/cyber-cooperation-program/Pages/cyber-cooperation-program.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mmunications.gov.au/departmental-news/impacts-5g-productivity-and-economic-growt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sustainabledevelopment/sustainable-development-goa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fat.gov.au/international-relations/themes/cyber-affairs/cyber-cooperation-program/Pages/technology-for-development-challeng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6617FC01BFFA4D8DB7DD9DF27E1920" ma:contentTypeVersion="0" ma:contentTypeDescription="Create a new document." ma:contentTypeScope="" ma:versionID="e33cbdd71045e7db36ba6bba3564800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B6DCF-B77A-4125-9701-4E337351D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7A03F5B-C58A-4CED-9AF6-C3509FE537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30B769-A62F-4895-BA14-4F122A17A8C0}">
  <ds:schemaRefs>
    <ds:schemaRef ds:uri="http://schemas.microsoft.com/sharepoint/v3/contenttype/forms"/>
  </ds:schemaRefs>
</ds:datastoreItem>
</file>

<file path=customXml/itemProps4.xml><?xml version="1.0" encoding="utf-8"?>
<ds:datastoreItem xmlns:ds="http://schemas.openxmlformats.org/officeDocument/2006/customXml" ds:itemID="{9ED86276-D6C2-4694-8D24-92C1DF4ED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2432</Words>
  <Characters>13867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2019-12-26T12:00:00Z</dcterms:created>
  <dcterms:modified xsi:type="dcterms:W3CDTF">2019-12-26T12:00:00Z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0x010100CC6617FC01BFFA4D8DB7DD9DF27E1920</vt:lpwstr>
  </property>
  <property fmtid="{D5CDD505-2E9C-101B-9397-08002B2CF9AE}" pid="3" name="TrimRevisionNumber">
    <vt:i4>4</vt:i4>
  </property>
</Properties>
</file>